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E" w:rsidRDefault="0016377E">
      <w:pPr>
        <w:jc w:val="center"/>
        <w:rPr>
          <w:rFonts w:ascii="Bookman Old Style" w:hAnsi="Bookman Old Style"/>
          <w:b/>
          <w:lang w:val="en-US"/>
        </w:rPr>
      </w:pPr>
    </w:p>
    <w:p w:rsidR="0016377E" w:rsidRDefault="0016377E">
      <w:pPr>
        <w:jc w:val="center"/>
        <w:rPr>
          <w:rFonts w:ascii="Bookman Old Style" w:hAnsi="Bookman Old Style"/>
          <w:b/>
          <w:lang w:val="en-US"/>
        </w:rPr>
      </w:pPr>
    </w:p>
    <w:p w:rsidR="0016377E" w:rsidRDefault="003529DD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6377E" w:rsidRDefault="003529DD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6377E" w:rsidRDefault="003529DD">
      <w:pPr>
        <w:spacing w:line="240" w:lineRule="auto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16377E" w:rsidRDefault="003529DD">
      <w:pPr>
        <w:spacing w:line="240" w:lineRule="auto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16377E" w:rsidRDefault="003529DD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П О С Т А Н О В Л Е Н И Е</w:t>
      </w:r>
    </w:p>
    <w:p w:rsidR="0016377E" w:rsidRDefault="0016377E">
      <w:pPr>
        <w:spacing w:line="240" w:lineRule="auto"/>
        <w:jc w:val="center"/>
        <w:rPr>
          <w:sz w:val="28"/>
          <w:szCs w:val="28"/>
        </w:rPr>
      </w:pPr>
    </w:p>
    <w:p w:rsidR="0016377E" w:rsidRDefault="00352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05.04.2021 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23-па</w:t>
      </w:r>
    </w:p>
    <w:p w:rsidR="0016377E" w:rsidRDefault="003529D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руководства по соблюдению</w:t>
      </w:r>
    </w:p>
    <w:p w:rsidR="0016377E" w:rsidRDefault="003529D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обязательных требований законодательства</w:t>
      </w:r>
    </w:p>
    <w:p w:rsidR="0016377E" w:rsidRDefault="003529D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осуществлении муниципального контроля</w:t>
      </w:r>
    </w:p>
    <w:p w:rsidR="0016377E" w:rsidRDefault="0016377E">
      <w:pPr>
        <w:pStyle w:val="Standard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77E" w:rsidRDefault="0016377E">
      <w:pPr>
        <w:pStyle w:val="Standard"/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p w:rsidR="0016377E" w:rsidRDefault="003529DD">
      <w:pPr>
        <w:pStyle w:val="Standard"/>
        <w:spacing w:after="0" w:line="240" w:lineRule="auto"/>
        <w:ind w:right="-2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8.2.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8"/>
          <w:szCs w:val="28"/>
        </w:rPr>
        <w:t>Администрация Китаевского сельсовета Медвенского района ПОСТАНОВЛЯЕТ: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Китаевского сельсовета Медвенского района, согласно приложению 1 к настоящему постановлению.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Китаевского сельсовета Медвенского района, согласно приложению 2 к настоящему постановлению.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зместить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образования «Китаевский сельсовет» Медвенского района Курской области в сети «Интернет».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соблюдением данного постановления оставляю за собой.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постановление всту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 в силу после его официального обнародования.</w:t>
      </w:r>
    </w:p>
    <w:p w:rsidR="0016377E" w:rsidRDefault="0016377E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6377E" w:rsidRDefault="0016377E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77E" w:rsidRDefault="003529DD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Китаевского сельсовета</w:t>
      </w:r>
    </w:p>
    <w:p w:rsidR="0016377E" w:rsidRDefault="003529DD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О.Н.Евглевская</w:t>
      </w:r>
    </w:p>
    <w:p w:rsidR="0016377E" w:rsidRDefault="0016377E">
      <w:pPr>
        <w:pStyle w:val="Standard"/>
        <w:pageBreakBefore/>
        <w:tabs>
          <w:tab w:val="right" w:pos="14743"/>
        </w:tabs>
        <w:spacing w:after="0" w:line="240" w:lineRule="auto"/>
        <w:ind w:left="4962"/>
        <w:jc w:val="right"/>
        <w:rPr>
          <w:rFonts w:ascii="Times New Roman" w:hAnsi="Times New Roman" w:cs="Times New Roman"/>
        </w:rPr>
      </w:pPr>
    </w:p>
    <w:p w:rsidR="0016377E" w:rsidRDefault="003529DD">
      <w:pPr>
        <w:pStyle w:val="Standard"/>
        <w:pageBreakBefore/>
        <w:tabs>
          <w:tab w:val="right" w:pos="14743"/>
        </w:tabs>
        <w:spacing w:after="0" w:line="240" w:lineRule="auto"/>
        <w:ind w:left="4962"/>
        <w:jc w:val="right"/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16377E" w:rsidRDefault="003529DD">
      <w:pPr>
        <w:pStyle w:val="a3"/>
        <w:jc w:val="right"/>
      </w:pPr>
      <w:r>
        <w:rPr>
          <w:rStyle w:val="a7"/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16377E" w:rsidRDefault="003529DD">
      <w:pPr>
        <w:pStyle w:val="a3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Китаевского сельсовета</w:t>
      </w:r>
    </w:p>
    <w:p w:rsidR="0016377E" w:rsidRDefault="003529DD">
      <w:pPr>
        <w:pStyle w:val="a3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Медв</w:t>
      </w:r>
      <w:r>
        <w:rPr>
          <w:rFonts w:ascii="Times New Roman" w:hAnsi="Times New Roman" w:cs="Times New Roman"/>
          <w:color w:val="000000"/>
          <w:sz w:val="24"/>
          <w:szCs w:val="24"/>
        </w:rPr>
        <w:t>енского района</w:t>
      </w:r>
    </w:p>
    <w:p w:rsidR="0016377E" w:rsidRDefault="003529DD">
      <w:pPr>
        <w:pStyle w:val="Standard"/>
        <w:spacing w:after="0" w:line="240" w:lineRule="auto"/>
        <w:ind w:firstLine="698"/>
        <w:jc w:val="right"/>
      </w:pP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 от 05.04.2021 № 23-па</w:t>
      </w:r>
    </w:p>
    <w:p w:rsidR="0016377E" w:rsidRDefault="0016377E">
      <w:pPr>
        <w:pStyle w:val="Standard"/>
        <w:tabs>
          <w:tab w:val="right" w:pos="14743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16377E" w:rsidRDefault="003529D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Руководство по соблюдению обязательных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требований, предъявляемых при 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контроля</w:t>
      </w:r>
    </w:p>
    <w:p w:rsidR="0016377E" w:rsidRDefault="0016377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статьи 8.2 Федерального закона от 26.12.2008 № 294-ФЗ «О защите прав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 лиц и индивидуальных предпринимателей при осуществлении государственного (надзора) и муниципального контроля» на официальных сайтах органов муниципального контроля в сети «Интернет» для каждого вида муниципального контроля размещаются перечни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Комментарии и предложения в отношении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 перечня правовых актов, содержащих обязательные требования, соблюдение которых оценивается при проведении мероприятий по контролю, а также обращения с заявлением, жалобой или предложением могут быть направлены заинтересованными лицами при личном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бращении в администрацию поселения, по телефонам, посредством электронной почты, через Интернет-приемную администрации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при осуществлении муниципального жилищного контроля, размещены на официальном сайте муниципального образования.</w:t>
      </w:r>
    </w:p>
    <w:p w:rsidR="0016377E" w:rsidRDefault="0016377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Разъяснение новых требований 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правовых актов о муниципальном торговом контроле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2017 года вступили в силу положения 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закона от 03.07.2016 № 277-ФЗ, которым были внесены существенные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контроля» (далее – Закон № 294-ФЗ).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Ведение работы по профилактике соблюдения обязательных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муниципального контроля обязаны информировать юридических лиц, индивидуальных предпринимателей по вопросам соблюдения обязательных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 том числе посредством: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консультаций с подконтрольными субъектами по разъяснению обязательных требований (в том числе, семинары, вебинары, конференции, заседания рабочих групп);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разработки и опубликования руководств по соблюдению обязательных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разъяснительной работы в средствах массовой информации;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распространения комментариев о содержании новых нормативных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актов, устанавливающих обязательные требования, внесенных изменениях в действующие акты;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профилактики нарушений обязательных требований законодательства в сфере муниципального контроля утверждается ежегодно.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 предостережений о недопустимости нарушения обязательных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направление органами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контроля юридическим лицам, индивидуальным предпринимателям предостережений о недопустимости нарушения обязательных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10.02.2017 № 166 утверждены Правила составления и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(далее – Правила № 166).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направлении предостережения в соответствии с ч. 5 ст. 8.2 Закона № 294-ФЗ принимается при наличии одновременно следующих четырех условий: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 у органа муниципального контроля сведений о готовящихся нарушениях или о признаках нарушений обяз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Указанные сведения поступили одним из следующих способов: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получены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содержатся в обращениях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заявлениях (за исключением обращений и заявлений, авторство которых не подтверждено);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содержатся в письмах от органов государственной власти, органов местного самоуправления;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размещены в средствах массовой информации.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Отсутствуют подтвержденные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том, что нарушение обязательных требований: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причинило вред жизни, здоровью граждан;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причинило вред животным, растениям, окружающей среде, объектам культурного наследия (памятникам истории и культуры) народов Российской Федерации, безопасност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государства;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привело к возникновению чрезвычайных ситуаций природного и техногенного характера;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создало непосредственную угрозу указанных последствий.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предостережение направляется при отсутствии достаточных оснований для проведения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неплановой проверки, предусмотренных п. 2 ч. 2 ст. 10 Закона 294-ФЗ.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Юридическое лицо, индивидуальный предприниматель ранее не привлекались к ответственности за нарушение соответствующих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требовать у юридического лица,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 сведения или документы путем направления предостережения.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предостережения юридическим лицом, индивидуальным предпринимателем могут быть направлены возражения на него либо уведомление об исполнении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получения возражений орган муниципального контроля направляет в течение 20 рабочих дней со дня их получения ответ юридическому лицу, индивидуальному предпринимателю.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уведомлении об исполнении предостережения указываются: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 лица, фамилия, имя, отчество (при наличии) индивидуального предпринимателя;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идентификационный номер налогоплательщика - юридического лица, индивидуального предпринимателя;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дата и номер предостережения, направленного в адрес юридического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индивидуального предпринимателя;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предостережения юридическим лицом, индивидуальным предпринимателе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могут быть поданы в орган муниципального контроля, направивший предостережение, возражения. В возражениях указываются: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юридического лица, фамилия, имя, отчество (при наличии) индивидуального предпринимателя;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идентификационный номер 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огоплательщика - юридического лица, индивидуального предпринимателя;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обоснование позиции в отношении указанных в предостережении действий (бездейс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об исполнении предостережения, возражения на предостережение направляются юридическим лицом, индивидуальным предп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ринимателем в бумажном виде почтовым отправлением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лица, уполномоченного действовать от имени 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мероприятий по контролю без взаимодействия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юридическими лицами, индивидуальными предпринимателями.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плановые (рейдовые) осмотры (обследования) территорий, акваторий,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нспортных средств;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административные обследования объектов земельных отношений;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нга, социально-гигиенического мониторинга в порядке, установленном законодательством Российской Федерации;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наблюдение за соблюдением обязательных требований посредством анализа информации о деятельности либо действиях юридического лица и 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другие виды и формы мероприятий по контролю,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становленные федеральными законами.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при проведении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контролю без взаимодействия с юридическими лицами,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Процедура предварительной проверки поступивших обраще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 муниципального контроля может быть проведена предварительная проверка поступившей информации.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предварительной проверки: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принимаются меры по запросу дополнительных сведений и материалов (в том числе в устном порядке) у лиц,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авивших заявления и обращения, представивших информацию;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проводится рассмотрение документов юридического лица, индивидуального предпринимателя, имеющихся в распоряжении органа муниципального контроля;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при необходимости проводятся мероприятия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предварительной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предварительной проверки меры по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влечению юридического лица, индивидуального предпринимателя к ответственности не принимаются.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ебований либо о фактах, указанных в ч. 2 ст. 10 Закона № 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п.2 ч. 2 ст. 10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294-ФЗ.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запроса документов у юридических лиц, индивидуальных предпринимателей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были представлены ими в ходе проведения документарной проверки.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начала проведения проверки.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орган муниципального контроля после издания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Конкретизация способов возможного уведомления юридического лица, индивидуального предпринимателя о проведении проверки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Проверяемое лицо может быть уведомлено не позднее чем за три рабочих дня до начала проведения плановой проверки (за 24 часа до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внеплановой проверки) посредством направления копии распоряжения или приказа о проведении проверки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лица, индивидуального предпринимателя, если такой адрес содержится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в орган муниципального контроля.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рассмотрения анонимных и недостоверных обращений, содержащих информацию, являющуюся основанием для проведения проверки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Установлено, что в случае, если изложенная в обращении или заявлении информация может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матривающих обязательную авторизацию заявителя в единой системе идентификации и аутентификации.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существенным нововведением является то, что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 муниципального контроля вправе обратиться в суд с иском о взыскании с гражданина, юридического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лениях, обращениях были указаны заведомо ложные сведения.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действий органа муниципального контроля в случае невозможности проведения проверки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Предусмотрено составление акта о невозможности проведения проверки (прилагается.) В частности, должностное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 органа муниципального контроля составляет акт о невозможности проведения проверки с указанием причин невозможности ее проведения в случаях, если проведение плановой или внеплановой выездной проверки оказалось невозможным в связи с: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отсутствием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видуального предпринимателя, его уполномоченного представителя, руководителя или иного должностного лица юридического лица;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фактическим неосуществлением деятельности юридическим лицом, индивидуальным предпринимателем;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иными действиями (бездействием)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необходимо отметить, что при выявлении виновных действий проверяемых 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направленных на воспрепятствование законной деятельности должностного лица по проведению проверок или уклонение от таких проверок, органы муниципального контроля вправе направить материалы дела в орган государственного контроля (надзора) для возбуждения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об административном правонарушении по ст. 19.4.1 Кодекса Российской Федерации об административных правонарушениях и направить соответствующие материалы для рассмотрения в суд.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ч. 2 ст. 19.4.1 КоАП РФ воспрепятствование законной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должностного лица органа муниципального контроля, повлекшее невозможность проведения или завершения проверки, влечет наложение административного штрафа: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должностных лиц в размере от пяти тысяч до десяти тысяч рублей;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на юридических лиц -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тысяч до пятидесяти тысяч рублей.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Административная ответстве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нность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надзора, допустившие нарушение обязательных требований,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администрации об устранени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выявленных нарушений обязательных требований, несут административную ответственность в соответствии с законодательством Российской Федерации. Несоблюдение указанных требований образует составы административных правонарушений, предусмотренных статьями 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19 Кодекса Российской Федерации об административных правонарушениях, а именно: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19.4.1.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19.5. Невыполнение в срок законного предписания (постановления, представления, решения) органа (должностного лица)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осуществляющего государственный надзор (контроль), муниципальный контроль;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19.7. Непредставление сведений (информации).</w:t>
      </w:r>
    </w:p>
    <w:p w:rsidR="0016377E" w:rsidRDefault="0016377E">
      <w:pPr>
        <w:pStyle w:val="Standard"/>
        <w:spacing w:after="0" w:line="240" w:lineRule="auto"/>
        <w:ind w:firstLine="709"/>
        <w:jc w:val="both"/>
      </w:pPr>
    </w:p>
    <w:p w:rsidR="0016377E" w:rsidRDefault="0016377E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77E" w:rsidRDefault="003529DD">
      <w:pPr>
        <w:pStyle w:val="Standard"/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16377E" w:rsidRDefault="003529DD">
      <w:pPr>
        <w:pStyle w:val="a3"/>
        <w:jc w:val="right"/>
      </w:pPr>
      <w:r>
        <w:rPr>
          <w:rStyle w:val="a7"/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16377E" w:rsidRDefault="003529DD">
      <w:pPr>
        <w:pStyle w:val="a3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Китаевского сельсовета</w:t>
      </w:r>
    </w:p>
    <w:p w:rsidR="0016377E" w:rsidRDefault="003529DD">
      <w:pPr>
        <w:pStyle w:val="a3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16377E" w:rsidRDefault="003529DD">
      <w:pPr>
        <w:pStyle w:val="Standard"/>
        <w:spacing w:after="0" w:line="240" w:lineRule="auto"/>
        <w:ind w:firstLine="698"/>
        <w:jc w:val="right"/>
      </w:pP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 от 05.04.2021 № 23-па</w:t>
      </w:r>
    </w:p>
    <w:p w:rsidR="0016377E" w:rsidRDefault="0016377E">
      <w:pPr>
        <w:pStyle w:val="Standard"/>
        <w:spacing w:after="0" w:line="240" w:lineRule="auto"/>
        <w:ind w:firstLine="698"/>
        <w:jc w:val="right"/>
      </w:pPr>
    </w:p>
    <w:p w:rsidR="0016377E" w:rsidRDefault="0016377E">
      <w:pPr>
        <w:pStyle w:val="Standard"/>
        <w:spacing w:after="0" w:line="240" w:lineRule="auto"/>
        <w:ind w:firstLine="698"/>
        <w:jc w:val="right"/>
      </w:pPr>
    </w:p>
    <w:p w:rsidR="0016377E" w:rsidRDefault="003529D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Руководство</w:t>
      </w:r>
    </w:p>
    <w:p w:rsidR="0016377E" w:rsidRDefault="003529D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соблюдению обязательных требований при осуществлении муниципального контроля за соблюдением Правил благоустройства территории Китаевского сельсовета Медвенского района Курской области</w:t>
      </w:r>
    </w:p>
    <w:p w:rsidR="0016377E" w:rsidRDefault="0016377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за соблюдением Правил благоус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тройства на территории Китаевского сельсовета Медвенского района Курской области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номоченными представителями, физическими лицами (далее также - субъекты проверок) требований, установленных федеральными законами и законами Курской области в области благоустройства, а также муниципальными правовыми актами.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за соблю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 Правил благоустройства на территории Китаевского сельсовета Медвенского района осуществляет Администрация Китаевского сельсовета Медвенского района (далее – Администрация). Проведение проверок (плановых и внеплановых) осуществляют уполномоченные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жностные лица.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контроль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№294-ФЗ), Федеральным законом от 02 мая 2006 года № 59-ФЗ «О порядке рассмотрения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 граждан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Постановлением Правительства Российской 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Правительства РФ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енений в постановление Правительства Российской Федерации от 30 июня 2010 года № 489», приказом Министерства экономического развития РФ от 30 апреля 2009 года № 141 «О реализации положений Федерального закона «О защите прав юридических лиц и индивидуальных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предпринимателей при осуществлении государственного контроля (надзора) и муниципального контроля», Законом Курской области № 1-ЗКО «Об административных правонарушениях», Правилами благоустройства Китаевского сельсовета Медвенского района, утвержденными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шением Собрания депутатов </w:t>
      </w:r>
      <w:r>
        <w:rPr>
          <w:rFonts w:ascii="Times New Roman" w:hAnsi="Times New Roman"/>
          <w:sz w:val="24"/>
          <w:szCs w:val="24"/>
        </w:rPr>
        <w:t>Китаевского сельсовета Медвенского района 25.05.2018 № 38/149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 муниципального образования «Китаевский сельсовет» Медвенского района Курской области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за соблюдением требований Правил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благоустройства территории Китаевского сельсовета (далее – контроль за соблюдением требований Правил благоустройства) является организация и проведение на территории Китаевского сельсовета проверок, оформления результатов, систематического наблюдения за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полнением требований,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лицами, индивидуальными предпринимателя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а также принятия мер по устранению выявленных нарушений. Должностные лица Администрации, уполномоченные на осуществление муниципального контроля (далее - должностные лица Администрации), имеют право: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муниципальный контроль 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законодательством Российской Федерации, законодательством Курской области и муниципальными правовыми актами;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 получать на основании мотивированных письменных запросов от органов государственной власти, органов местного самоуправления, юри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выдавать предписания о прекращении нарушений обязательных требований, об устранении выявленных нарушений,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мероприятий по обеспечению соблюдения обязательных требований;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по результатам проведенных проверок акты проверок по установленной форме в двух экземплярах, с указанием сроков устранения выявленных нарушений и обязательным ознакомлен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с ними руководителя, иного должностного лица проверяемого юридического лица, индивидуального предпринимателя или их уполномоченных представителей;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 в уполномоченные органы материалы по выявленным нарушениям законодательства в области благоу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стройства деятельности для решения вопроса о привлечении виновных лиц к ответственности в соответствии с законодательством Российской Федерации.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экспертов и экспертные организации к проведению проверок соблюдения требований в области благоустр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ойства;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организации и проведении проверок запрашивать и получать на безвозмездно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стные лица администрации при проведении проверки обязаны: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требований, установленных муниципальными правовыми актами;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проверку на основании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поряжения главы администрации сельского поселения о ее проведении в соответствии с ее назначением;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в случае, предусмотренном частью 5 статьи 10 Федерального закона № 294-ФЗ, копии документа о согласовании проведения проверки;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предпринимателю присутствовать при проведении проверки и давать разъяснения по вопросам, относящимся к предмету проверки;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руководителю, иному должностному лицу или уполномоченному представителю юридического лица, индивидуальному предприним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знакомить руководителя, иное должностное лицо или уполномоченного представителя юридического лица, индивидуального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предпринимателя, его уполномоченного представителя результатами проверки;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информацией, полученными в рамках межведомственного информационного взаимодействия;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 допускать необоснованное ограничение прав и законных интересов индивидуальных предпринимателей, юридических лиц;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законодательством Российской Федерации;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сроки проведения проверки, установленные законодательством Российской Федерации;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предусмотрено законодательством Российской Федерации;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 ознакомить их с положениями административного регламента, в соответствии с которым проводится проверка;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запись о проведенной проверке в журнале учета проверок юридического лица или индивидуального предпринимателя при наличии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кового. При отсутствии журнала учета проверок в акте проверки делается соответствующая запись.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лица, осуществляющие муниципальный контроль, несут установленную законодательством Российской Федерации ответственность за несоблюдение требований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конодательства при проведении мероприятий по муниципальному контролю в области благоустройства.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 проверки имеют право: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получать от органа муниципального контроля, его должностных лиц информацию, которая относится к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мету проверки и предоставление которой предусмотрено Федеральным законом № 294-ФЗ;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должностных лиц органа муниципального контроля;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обжаловать действия (бездействие) должностных лиц органа муниципального контроля, повлёкшие за собой нарушение прав юридического лица, индивидуального предпринимателя при проведении проверки, в админис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тративном и (или) судебном порядке в соответствии с законодательством Российской Федерации.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представлять документы и (или) информацию, запрашиваемые в рамках межведомственного информационного взаимодействи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орган муниципального контроля по собственной инициативе;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подать в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плановых проверок в нарушение положений статьи 26.1 Федерального Закона № 294.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проверок при проведении проверки обязаны: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проведении проверок юридические лица обязаны обеспечить присутствие руководителей, иных должностных лиц или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ований, установленных муниципальными правовыми актами;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препятствовать проведению проверок при осуществлении муниципального контроля;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уклоняться от проведения проверок при осуществлении муниципального контроля;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исполнить в установленный срок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дписание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муниципального контроля в области благоустройства является акт проверки и 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в отношении фактов нарушений, выявленных при проведении проверки.</w:t>
      </w:r>
    </w:p>
    <w:p w:rsidR="0016377E" w:rsidRDefault="0016377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Разъяснения неоднозначных или неясных для подконтрольных лиц обязательных требований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 лиц, индивидуальные предприниматели, их уполномоченные представители, допустившие нарушение Федерального закона 294-ФЗ, необоснованно препятствующие проведению проверок, уклоняющиеся от проведения проверок и (или) не исполняющие в установленный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 Несоблюдение вышеуказанных требований образует составы административного правонарушения предусмотренные гл. 19 КоАП РФ, а именно: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19.4. Неповиновение законному распоряжению должностного лица органа,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ляющего государственный надзор (контроль), муниципальный контроль;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19.5. Невыполнение в срок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19.7. Непредставление сведений (информации).</w:t>
      </w:r>
    </w:p>
    <w:p w:rsidR="0016377E" w:rsidRDefault="0016377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Изменения, внесенные в Федеральный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 от 26 декабря 2008 года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Федеральный закон 294-ФЗ внесены изменения Федеральным законом от 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2016 года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 в Российской Федерации», которые вступили в законную силу с 01 января 2017 года: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Введена статья 8.2. «Организация и проведение мероприятий, направленных на профилактику нарушений обязательных требований». В целях предупреждения нарушений обязате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требований, устранения причин, факторов и условий, способствующих нарушениям обязательных требований, органы государственного контроля (надзора), муниципального контроля осуществляют мероприятия по профилактике нарушений обязательных требований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 с ежегодно утверждаемыми ими программами профилактики нарушений.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предусмотрено: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информирование по вопросам соблюдения обязательных требований, в том числе посредством разработки и опубликования руководств по соблюдению обязательных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проведения семинаров и конференций, разъяснительной работы в средствах массовой информации и иными способами.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ежегодное обобщение практики осуществления в соответствующей сфере деятельности государственного контроля (надзора), муниципального контро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индивидуальными предприятиями в целях недопущения таких нарушений.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3)выдача предостережений о недопустимости нарушения обязательных требований в соответствии с частями 5 - 7 ст. 8 Федерального закона 294-ФЗ, если иной порядок не установлен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полученных в ходе реализации мероприя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по контролю, осуществляемых без взаимодействия с юридическими лицами, индивидуальными предпринимателями;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содержащихся в поступивших обращениях и заявлениях (за исключением обращений и заявлений, авторство которых не подтверждено);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содержащихся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поступившей от органов государственной власти, органов местного самоуправления;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содержащейся в информации и поступившей из средств массовой информации.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условиями для выдачи предостережения являются: отсутствие подтвержденные данных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что нарушение обязательных требований, причинило вред жизни, здоровью граждан, окружающей среде и т.д., а так же если юридические лица и индивидуальные предприниматели ранее не привлекались к ответственности за нарушение соответствующих требований.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объявлении предостережения орган муниципального контроля предлагает принять меры по обеспечению соблюдения обязательных требований, и уведомить об этом в установленный в таком предостережении срок орган государственного контроля (надзора).</w:t>
      </w:r>
    </w:p>
    <w:p w:rsidR="0016377E" w:rsidRDefault="0016377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Правила со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ут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верждены Постановлением Правительства Российской Федерации от 10 февраля 2017 года № 166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Утвержденными Правилами определены в том числе: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перечень должностных лиц органа государственного контроля (надзора), органа муниципального контроля, принимающих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направлении предостережения;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срок составления и направления предостережения;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сведения, указываемые в предостережении, в возражении на предостережение и в уведомлении об исполнении предостережения;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порядок подачи возражений на предостереж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и их рассмотрения органом государственного контроля (надзора), органом муниципального контроля, порядок уведомления юридическим лицом, индивидуальным предпринимателем органа государственного контроля (надзора), органа муниципального контроля об 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предостережения.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возражений юридическое лицо, индивидуальный предприниматель в указанный в предостережении срок направляет в орган государственного контроля (надзора), орган муниципального контроля уведомление об исполнении предостереже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внимание, что в случае непредставления юридическим лицом, индивидуальным предпринимателем уведомления об исполнении предостережения в соответствии с п. п. 11,12 Правил, хозяйствующий субъект может быть привлечен к административной 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етственности по ст. 19.7. КоАП РФ «Непредставление сведений (информации)».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Согласно внесенным изменениям в ст. 10 Федерального закона № 294-ФЗ основаниями для проведения внеплановой проверки являются: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истечение срока исполнения юридическим лицом, инд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поступление в орган государственного контроля (надзора), орган 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сования);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 государственной власти, органов местного самоуправления, из средств массовой информации о следующих фактах: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возникновение угрозы причинения вреда жизни, здоровью граждан, вреда животным, растениям, окружающей среде, объектам культурного наследия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причинение вреда жизни, здоровью гражд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ситуаций природного и техногенного характера;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выявление при проведении мероприятий без взаимодействи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юридическими лицами, индивидуальными предпринимателями при осуществлении видов государственного контроля (надзора), указанных в частях 1 и 2 статьи 8.1 Федерального закона, параметров деятельности юридического лица, индивидуального предпринимателя,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(надзора), муниципального контроля;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приказ (распоряжение) руководителя органа государственного контроля (надзора), муниципального контроля, изданный в соответствии с поручениями Президента Российской Федерации, Правительства Российской Федераци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основанием для проведения внеплановой проверки с 01 января 2017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не само обращение, информация и т.д., а мотивированное представление должностного лица государственного контроля (надзора), муниципального контроля по результатам анализа результатов рассмотрения или предварительной проверки поступивших в орган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осударственного контроля (надзора), муниципального контроля обращений и заявлений, в том числе от потребителей.</w:t>
      </w:r>
    </w:p>
    <w:p w:rsidR="0016377E" w:rsidRDefault="0016377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Введено понятие предварительной проверки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ст. 10 Федерального закона 294–ФЗ «Организация и проведение внеплановой проверки» предвари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проверка может быть проведена при отсутствии достоверной информации о лице, допустившем нарушение обязательных требований, а также при отсутствии достаточных данных о нарушении обязательных требований либо о фактах, которые могут являться 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для проведения проверки.</w:t>
      </w:r>
    </w:p>
    <w:p w:rsidR="0016377E" w:rsidRDefault="003529D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проводится рассмотрение документов, имеющихся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распоряжении органа государственного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обязательным.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16377E" w:rsidRDefault="0016377E">
      <w:pPr>
        <w:pStyle w:val="Standard"/>
        <w:ind w:firstLine="709"/>
        <w:jc w:val="both"/>
      </w:pPr>
    </w:p>
    <w:p w:rsidR="0016377E" w:rsidRDefault="0016377E">
      <w:pPr>
        <w:pStyle w:val="Standard"/>
      </w:pPr>
    </w:p>
    <w:sectPr w:rsidR="0016377E" w:rsidSect="0016377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DD" w:rsidRDefault="003529DD" w:rsidP="0016377E">
      <w:pPr>
        <w:spacing w:after="0" w:line="240" w:lineRule="auto"/>
      </w:pPr>
      <w:r>
        <w:separator/>
      </w:r>
    </w:p>
  </w:endnote>
  <w:endnote w:type="continuationSeparator" w:id="0">
    <w:p w:rsidR="003529DD" w:rsidRDefault="003529DD" w:rsidP="0016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DD" w:rsidRDefault="003529DD" w:rsidP="0016377E">
      <w:pPr>
        <w:spacing w:after="0" w:line="240" w:lineRule="auto"/>
      </w:pPr>
      <w:r w:rsidRPr="0016377E">
        <w:rPr>
          <w:color w:val="000000"/>
        </w:rPr>
        <w:separator/>
      </w:r>
    </w:p>
  </w:footnote>
  <w:footnote w:type="continuationSeparator" w:id="0">
    <w:p w:rsidR="003529DD" w:rsidRDefault="003529DD" w:rsidP="0016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7E"/>
    <w:rsid w:val="0016377E"/>
    <w:rsid w:val="003529DD"/>
    <w:rsid w:val="00A4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7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377E"/>
    <w:pPr>
      <w:widowControl/>
      <w:suppressAutoHyphens/>
    </w:pPr>
  </w:style>
  <w:style w:type="paragraph" w:styleId="a3">
    <w:name w:val="Title"/>
    <w:basedOn w:val="Standard"/>
    <w:next w:val="Textbody"/>
    <w:rsid w:val="0016377E"/>
    <w:pPr>
      <w:keepNext/>
      <w:spacing w:before="240"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ody">
    <w:name w:val="Text body"/>
    <w:basedOn w:val="Standard"/>
    <w:rsid w:val="0016377E"/>
    <w:pPr>
      <w:spacing w:after="120"/>
    </w:pPr>
  </w:style>
  <w:style w:type="paragraph" w:styleId="a4">
    <w:name w:val="List"/>
    <w:basedOn w:val="Textbody"/>
    <w:rsid w:val="0016377E"/>
    <w:rPr>
      <w:rFonts w:cs="Mangal"/>
    </w:rPr>
  </w:style>
  <w:style w:type="paragraph" w:styleId="a5">
    <w:name w:val="caption"/>
    <w:basedOn w:val="Standard"/>
    <w:rsid w:val="001637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6377E"/>
    <w:pPr>
      <w:suppressLineNumbers/>
    </w:pPr>
    <w:rPr>
      <w:rFonts w:cs="Mangal"/>
    </w:rPr>
  </w:style>
  <w:style w:type="paragraph" w:styleId="a6">
    <w:name w:val="List Paragraph"/>
    <w:basedOn w:val="Standard"/>
    <w:rsid w:val="0016377E"/>
  </w:style>
  <w:style w:type="paragraph" w:customStyle="1" w:styleId="1">
    <w:name w:val="Без интервала1"/>
    <w:rsid w:val="0016377E"/>
    <w:pPr>
      <w:suppressAutoHyphens/>
    </w:pPr>
  </w:style>
  <w:style w:type="character" w:customStyle="1" w:styleId="a7">
    <w:name w:val="Цветовое выделение"/>
    <w:rsid w:val="0016377E"/>
  </w:style>
  <w:style w:type="paragraph" w:styleId="a8">
    <w:name w:val="Balloon Text"/>
    <w:basedOn w:val="a"/>
    <w:rsid w:val="0016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sid w:val="0016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6568</Words>
  <Characters>37439</Characters>
  <Application>Microsoft Office Word</Application>
  <DocSecurity>0</DocSecurity>
  <Lines>311</Lines>
  <Paragraphs>87</Paragraphs>
  <ScaleCrop>false</ScaleCrop>
  <Company/>
  <LinksUpToDate>false</LinksUpToDate>
  <CharactersWithSpaces>43920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2021-04-12T11:30:00Z</cp:lastPrinted>
  <dcterms:created xsi:type="dcterms:W3CDTF">2023-09-26T18:17:00Z</dcterms:created>
  <dcterms:modified xsi:type="dcterms:W3CDTF">2023-09-26T18:17:00Z</dcterms:modified>
</cp:coreProperties>
</file>