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8260C" w14:textId="77777777" w:rsidR="00F61395" w:rsidRPr="00EA7669" w:rsidRDefault="00F61395" w:rsidP="00F61395">
      <w:pPr>
        <w:outlineLvl w:val="0"/>
        <w:rPr>
          <w:rFonts w:ascii="Bookman Old Style" w:hAnsi="Bookman Old Style"/>
          <w:b/>
          <w:lang w:val="en-US"/>
        </w:rPr>
      </w:pPr>
      <w:bookmarkStart w:id="0" w:name="_GoBack"/>
    </w:p>
    <w:p w14:paraId="4B5887FB" w14:textId="77777777" w:rsidR="00F61395" w:rsidRDefault="00F61395" w:rsidP="00F613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14:paraId="1E657822" w14:textId="77777777" w:rsidR="00F61395" w:rsidRDefault="00F61395" w:rsidP="00F613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14:paraId="35BE82EC" w14:textId="77777777" w:rsidR="00F61395" w:rsidRDefault="00F61395" w:rsidP="00F61395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14:paraId="68B17804" w14:textId="77777777" w:rsidR="00F61395" w:rsidRDefault="00F61395" w:rsidP="00F61395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14:paraId="7B561AF3" w14:textId="77777777" w:rsidR="00F61395" w:rsidRDefault="00F61395" w:rsidP="00F61395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14:paraId="3154D2E4" w14:textId="77777777" w:rsidR="00F61395" w:rsidRDefault="00F61395" w:rsidP="00F61395">
      <w:pPr>
        <w:jc w:val="center"/>
        <w:rPr>
          <w:sz w:val="28"/>
          <w:szCs w:val="28"/>
        </w:rPr>
      </w:pPr>
    </w:p>
    <w:p w14:paraId="1E2B3CFD" w14:textId="5E94F1F0" w:rsidR="00F61395" w:rsidRPr="00C76368" w:rsidRDefault="00F61395" w:rsidP="00F61395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25.10.2022г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</w:t>
      </w:r>
      <w:r w:rsidRPr="000B23D0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bookmarkEnd w:id="0"/>
    <w:p w14:paraId="4D2ABBEC" w14:textId="77777777" w:rsidR="00F61395" w:rsidRDefault="00F61395">
      <w:pPr>
        <w:pStyle w:val="a1"/>
        <w:ind w:right="3912"/>
        <w:rPr>
          <w:b/>
        </w:rPr>
      </w:pPr>
    </w:p>
    <w:p w14:paraId="0C000000" w14:textId="2C741949" w:rsidR="005104F3" w:rsidRDefault="007A7945">
      <w:pPr>
        <w:pStyle w:val="a1"/>
        <w:ind w:right="3912"/>
      </w:pPr>
      <w:r>
        <w:rPr>
          <w:b/>
        </w:rPr>
        <w:t xml:space="preserve">Об утверждении методики </w:t>
      </w:r>
      <w:r>
        <w:rPr>
          <w:b/>
          <w:spacing w:val="-9"/>
        </w:rPr>
        <w:t xml:space="preserve">планирования бюджетных ассигнований </w:t>
      </w:r>
      <w:r>
        <w:rPr>
          <w:b/>
        </w:rPr>
        <w:t>муниципального образования «</w:t>
      </w:r>
      <w:proofErr w:type="spellStart"/>
      <w:r w:rsidR="00F61395">
        <w:rPr>
          <w:b/>
        </w:rPr>
        <w:t>Китаевский</w:t>
      </w:r>
      <w:proofErr w:type="spellEnd"/>
      <w:r w:rsidR="00F61395">
        <w:rPr>
          <w:b/>
        </w:rPr>
        <w:t xml:space="preserve"> </w:t>
      </w:r>
      <w:r>
        <w:rPr>
          <w:b/>
        </w:rPr>
        <w:t xml:space="preserve">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области» на 2023 год и плановый период 2024 и 2025 годов</w:t>
      </w:r>
    </w:p>
    <w:p w14:paraId="0D000000" w14:textId="77777777" w:rsidR="005104F3" w:rsidRDefault="005104F3">
      <w:pPr>
        <w:ind w:firstLine="720"/>
        <w:jc w:val="both"/>
      </w:pPr>
    </w:p>
    <w:p w14:paraId="0E000000" w14:textId="77777777" w:rsidR="005104F3" w:rsidRDefault="005104F3">
      <w:pPr>
        <w:ind w:firstLine="720"/>
        <w:jc w:val="both"/>
      </w:pPr>
    </w:p>
    <w:p w14:paraId="0F000000" w14:textId="77777777" w:rsidR="005104F3" w:rsidRDefault="005104F3">
      <w:pPr>
        <w:ind w:firstLine="720"/>
        <w:jc w:val="both"/>
      </w:pPr>
    </w:p>
    <w:p w14:paraId="10000000" w14:textId="07480335" w:rsidR="005104F3" w:rsidRDefault="007A7945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174.2 Бюджетного кодекса Российской Федерации, решения Собрания депутатов </w:t>
      </w:r>
      <w:proofErr w:type="spellStart"/>
      <w:r w:rsidR="00F61395">
        <w:rPr>
          <w:sz w:val="28"/>
        </w:rPr>
        <w:t>Китаевского</w:t>
      </w:r>
      <w:proofErr w:type="spellEnd"/>
      <w:r w:rsidR="00F61395">
        <w:rPr>
          <w:sz w:val="28"/>
        </w:rPr>
        <w:t xml:space="preserve"> сельсовета от 1</w:t>
      </w:r>
      <w:r w:rsidR="00745DD7">
        <w:rPr>
          <w:sz w:val="28"/>
        </w:rPr>
        <w:t>3</w:t>
      </w:r>
      <w:r w:rsidR="00F61395">
        <w:rPr>
          <w:sz w:val="28"/>
        </w:rPr>
        <w:t>.1</w:t>
      </w:r>
      <w:r w:rsidR="00745DD7">
        <w:rPr>
          <w:sz w:val="28"/>
        </w:rPr>
        <w:t>1</w:t>
      </w:r>
      <w:r w:rsidR="00F61395">
        <w:rPr>
          <w:sz w:val="28"/>
        </w:rPr>
        <w:t>.20</w:t>
      </w:r>
      <w:r w:rsidR="00745DD7">
        <w:rPr>
          <w:sz w:val="28"/>
        </w:rPr>
        <w:t>20</w:t>
      </w:r>
      <w:r>
        <w:rPr>
          <w:sz w:val="28"/>
        </w:rPr>
        <w:t xml:space="preserve"> №</w:t>
      </w:r>
      <w:r w:rsidR="00F61395">
        <w:rPr>
          <w:sz w:val="28"/>
        </w:rPr>
        <w:t xml:space="preserve"> </w:t>
      </w:r>
      <w:r w:rsidR="00745DD7">
        <w:rPr>
          <w:sz w:val="28"/>
        </w:rPr>
        <w:t>4</w:t>
      </w:r>
      <w:r w:rsidR="00F61395">
        <w:rPr>
          <w:sz w:val="28"/>
        </w:rPr>
        <w:t>/1</w:t>
      </w:r>
      <w:r w:rsidR="00745DD7">
        <w:rPr>
          <w:sz w:val="28"/>
        </w:rPr>
        <w:t>9</w:t>
      </w:r>
      <w:r>
        <w:rPr>
          <w:sz w:val="28"/>
        </w:rPr>
        <w:t xml:space="preserve">  «О бюджетном процессе в муниципальном образовании «</w:t>
      </w:r>
      <w:proofErr w:type="spellStart"/>
      <w:r w:rsidR="00F61395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области» (с изменениями), Администрация </w:t>
      </w:r>
      <w:proofErr w:type="spellStart"/>
      <w:r w:rsidR="00F61395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ПОСТАНОВЛЯЕТ:</w:t>
      </w:r>
    </w:p>
    <w:p w14:paraId="11000000" w14:textId="4D1932E0" w:rsidR="005104F3" w:rsidRDefault="007A7945">
      <w:pPr>
        <w:ind w:firstLine="709"/>
        <w:jc w:val="both"/>
        <w:rPr>
          <w:sz w:val="28"/>
        </w:rPr>
      </w:pPr>
      <w:r>
        <w:rPr>
          <w:sz w:val="28"/>
        </w:rPr>
        <w:t>1.Утвердить методику планирования бюджетных ассигнований муниципального образования «</w:t>
      </w:r>
      <w:proofErr w:type="spellStart"/>
      <w:r w:rsidR="00F61395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2023 год и плановый период 2024 и 2025 годов, согласно приложению</w:t>
      </w:r>
      <w:proofErr w:type="gramStart"/>
      <w:r>
        <w:rPr>
          <w:sz w:val="28"/>
        </w:rPr>
        <w:t xml:space="preserve"> .</w:t>
      </w:r>
      <w:proofErr w:type="gramEnd"/>
    </w:p>
    <w:p w14:paraId="12000000" w14:textId="77777777" w:rsidR="005104F3" w:rsidRDefault="007A7945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14:paraId="13000000" w14:textId="77777777" w:rsidR="005104F3" w:rsidRDefault="007A7945">
      <w:pPr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со дня его подписания.</w:t>
      </w:r>
    </w:p>
    <w:p w14:paraId="14000000" w14:textId="77777777" w:rsidR="005104F3" w:rsidRDefault="005104F3">
      <w:pPr>
        <w:ind w:firstLine="709"/>
        <w:jc w:val="both"/>
        <w:rPr>
          <w:sz w:val="28"/>
        </w:rPr>
      </w:pPr>
    </w:p>
    <w:p w14:paraId="15000000" w14:textId="77777777" w:rsidR="005104F3" w:rsidRDefault="005104F3">
      <w:pPr>
        <w:ind w:firstLine="709"/>
        <w:jc w:val="both"/>
        <w:rPr>
          <w:sz w:val="28"/>
        </w:rPr>
      </w:pPr>
    </w:p>
    <w:p w14:paraId="16000000" w14:textId="77777777" w:rsidR="005104F3" w:rsidRDefault="005104F3">
      <w:pPr>
        <w:ind w:firstLine="709"/>
        <w:jc w:val="both"/>
        <w:rPr>
          <w:sz w:val="28"/>
        </w:rPr>
      </w:pPr>
    </w:p>
    <w:p w14:paraId="17000000" w14:textId="77777777" w:rsidR="005104F3" w:rsidRDefault="005104F3">
      <w:pPr>
        <w:ind w:firstLine="709"/>
        <w:jc w:val="both"/>
        <w:rPr>
          <w:sz w:val="28"/>
        </w:rPr>
      </w:pPr>
    </w:p>
    <w:p w14:paraId="18000000" w14:textId="4292B7F4" w:rsidR="005104F3" w:rsidRDefault="007A7945">
      <w:pPr>
        <w:jc w:val="both"/>
        <w:rPr>
          <w:sz w:val="28"/>
        </w:rPr>
      </w:pPr>
      <w:r>
        <w:rPr>
          <w:sz w:val="28"/>
        </w:rPr>
        <w:t>Глава</w:t>
      </w:r>
      <w:r w:rsidR="00F61395">
        <w:rPr>
          <w:sz w:val="28"/>
        </w:rPr>
        <w:t xml:space="preserve"> </w:t>
      </w:r>
      <w:proofErr w:type="spellStart"/>
      <w:r w:rsidR="00F61395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                          </w:t>
      </w:r>
      <w:r w:rsidR="00F61395">
        <w:rPr>
          <w:sz w:val="28"/>
        </w:rPr>
        <w:t xml:space="preserve">        </w:t>
      </w:r>
      <w:proofErr w:type="spellStart"/>
      <w:r w:rsidR="00F61395">
        <w:rPr>
          <w:sz w:val="28"/>
        </w:rPr>
        <w:t>О.Н.Евглевская</w:t>
      </w:r>
      <w:proofErr w:type="spellEnd"/>
      <w:r>
        <w:rPr>
          <w:sz w:val="28"/>
        </w:rPr>
        <w:t xml:space="preserve">                        </w:t>
      </w:r>
    </w:p>
    <w:p w14:paraId="19000000" w14:textId="77777777" w:rsidR="005104F3" w:rsidRDefault="005104F3">
      <w:pPr>
        <w:ind w:firstLine="709"/>
        <w:jc w:val="both"/>
      </w:pPr>
    </w:p>
    <w:p w14:paraId="1A000000" w14:textId="77777777" w:rsidR="005104F3" w:rsidRDefault="005104F3">
      <w:pPr>
        <w:ind w:firstLine="709"/>
        <w:jc w:val="both"/>
      </w:pPr>
    </w:p>
    <w:p w14:paraId="1B000000" w14:textId="77777777" w:rsidR="005104F3" w:rsidRDefault="005104F3">
      <w:pPr>
        <w:ind w:firstLine="709"/>
        <w:jc w:val="both"/>
      </w:pPr>
    </w:p>
    <w:p w14:paraId="1C000000" w14:textId="77777777" w:rsidR="005104F3" w:rsidRDefault="005104F3">
      <w:pPr>
        <w:ind w:firstLine="709"/>
        <w:jc w:val="both"/>
      </w:pPr>
    </w:p>
    <w:p w14:paraId="1D000000" w14:textId="77777777" w:rsidR="005104F3" w:rsidRDefault="005104F3">
      <w:pPr>
        <w:ind w:firstLine="709"/>
        <w:jc w:val="both"/>
      </w:pPr>
    </w:p>
    <w:p w14:paraId="1E000000" w14:textId="77777777" w:rsidR="005104F3" w:rsidRDefault="005104F3">
      <w:pPr>
        <w:ind w:firstLine="709"/>
        <w:jc w:val="both"/>
      </w:pPr>
    </w:p>
    <w:p w14:paraId="1F000000" w14:textId="77777777" w:rsidR="005104F3" w:rsidRDefault="005104F3">
      <w:pPr>
        <w:ind w:firstLine="709"/>
        <w:jc w:val="both"/>
      </w:pPr>
    </w:p>
    <w:p w14:paraId="20000000" w14:textId="77777777" w:rsidR="005104F3" w:rsidRDefault="005104F3">
      <w:pPr>
        <w:ind w:firstLine="709"/>
        <w:jc w:val="both"/>
      </w:pPr>
    </w:p>
    <w:p w14:paraId="21000000" w14:textId="77777777" w:rsidR="005104F3" w:rsidRDefault="005104F3">
      <w:pPr>
        <w:ind w:firstLine="709"/>
        <w:jc w:val="both"/>
      </w:pPr>
    </w:p>
    <w:p w14:paraId="22000000" w14:textId="77777777" w:rsidR="005104F3" w:rsidRDefault="005104F3">
      <w:pPr>
        <w:ind w:firstLine="709"/>
        <w:jc w:val="both"/>
      </w:pPr>
    </w:p>
    <w:p w14:paraId="23000000" w14:textId="77777777" w:rsidR="005104F3" w:rsidRDefault="005104F3">
      <w:pPr>
        <w:ind w:firstLine="709"/>
        <w:jc w:val="right"/>
      </w:pPr>
    </w:p>
    <w:p w14:paraId="24000000" w14:textId="77777777" w:rsidR="005104F3" w:rsidRDefault="005104F3">
      <w:pPr>
        <w:ind w:firstLine="709"/>
        <w:jc w:val="right"/>
      </w:pPr>
    </w:p>
    <w:p w14:paraId="25000000" w14:textId="77777777" w:rsidR="005104F3" w:rsidRDefault="007A7945">
      <w:pPr>
        <w:ind w:firstLine="709"/>
        <w:jc w:val="right"/>
      </w:pPr>
      <w:r>
        <w:t>Приложение</w:t>
      </w:r>
    </w:p>
    <w:p w14:paraId="26000000" w14:textId="77777777" w:rsidR="005104F3" w:rsidRDefault="007A7945">
      <w:pPr>
        <w:ind w:firstLine="709"/>
        <w:jc w:val="right"/>
      </w:pPr>
      <w:r>
        <w:t xml:space="preserve"> к постановлению Администрации</w:t>
      </w:r>
    </w:p>
    <w:p w14:paraId="27000000" w14:textId="11A7E7F5" w:rsidR="005104F3" w:rsidRDefault="00F61395">
      <w:pPr>
        <w:pStyle w:val="af1"/>
        <w:spacing w:after="0"/>
        <w:ind w:firstLine="709"/>
        <w:jc w:val="right"/>
      </w:pPr>
      <w:proofErr w:type="spellStart"/>
      <w:r>
        <w:rPr>
          <w:sz w:val="22"/>
        </w:rPr>
        <w:t>Китаевского</w:t>
      </w:r>
      <w:proofErr w:type="spellEnd"/>
      <w:r>
        <w:rPr>
          <w:sz w:val="22"/>
        </w:rPr>
        <w:t xml:space="preserve"> </w:t>
      </w:r>
      <w:r w:rsidR="007A7945">
        <w:rPr>
          <w:sz w:val="22"/>
        </w:rPr>
        <w:t xml:space="preserve"> сельсовета</w:t>
      </w:r>
    </w:p>
    <w:p w14:paraId="28000000" w14:textId="77777777" w:rsidR="005104F3" w:rsidRDefault="007A7945">
      <w:pPr>
        <w:pStyle w:val="af1"/>
        <w:spacing w:after="0"/>
        <w:ind w:firstLine="709"/>
        <w:jc w:val="right"/>
      </w:pPr>
      <w:proofErr w:type="spellStart"/>
      <w:r>
        <w:t>Медвенского</w:t>
      </w:r>
      <w:proofErr w:type="spellEnd"/>
      <w:r>
        <w:t xml:space="preserve"> района Курской области</w:t>
      </w:r>
    </w:p>
    <w:p w14:paraId="29000000" w14:textId="1A6BDB4B" w:rsidR="005104F3" w:rsidRDefault="00F61395">
      <w:pPr>
        <w:pStyle w:val="a1"/>
        <w:spacing w:after="0"/>
        <w:ind w:firstLine="709"/>
        <w:jc w:val="right"/>
      </w:pPr>
      <w:r>
        <w:t>о</w:t>
      </w:r>
      <w:r w:rsidR="007A7945">
        <w:t>т</w:t>
      </w:r>
      <w:r>
        <w:t xml:space="preserve"> 25.10.2022</w:t>
      </w:r>
      <w:r w:rsidR="007A7945">
        <w:t xml:space="preserve"> г. №</w:t>
      </w:r>
      <w:r>
        <w:t>57-па</w:t>
      </w:r>
    </w:p>
    <w:p w14:paraId="2A000000" w14:textId="77777777" w:rsidR="005104F3" w:rsidRDefault="005104F3">
      <w:pPr>
        <w:pStyle w:val="a1"/>
        <w:spacing w:after="0"/>
        <w:ind w:firstLine="709"/>
        <w:jc w:val="both"/>
      </w:pPr>
    </w:p>
    <w:p w14:paraId="2B000000" w14:textId="77777777" w:rsidR="005104F3" w:rsidRDefault="007A7945">
      <w:pPr>
        <w:ind w:right="8"/>
        <w:jc w:val="center"/>
        <w:rPr>
          <w:b/>
          <w:caps/>
          <w:sz w:val="28"/>
        </w:rPr>
      </w:pPr>
      <w:r>
        <w:rPr>
          <w:b/>
          <w:caps/>
          <w:sz w:val="28"/>
        </w:rPr>
        <w:t>методика</w:t>
      </w:r>
    </w:p>
    <w:p w14:paraId="2C000000" w14:textId="77777777" w:rsidR="005104F3" w:rsidRDefault="007A7945">
      <w:pPr>
        <w:ind w:right="8"/>
        <w:jc w:val="center"/>
        <w:rPr>
          <w:b/>
          <w:spacing w:val="-9"/>
          <w:sz w:val="28"/>
        </w:rPr>
      </w:pPr>
      <w:r>
        <w:rPr>
          <w:b/>
          <w:spacing w:val="-9"/>
          <w:sz w:val="28"/>
        </w:rPr>
        <w:t xml:space="preserve">планирования бюджетных ассигнований местного бюджета </w:t>
      </w:r>
    </w:p>
    <w:p w14:paraId="2D000000" w14:textId="77777777" w:rsidR="005104F3" w:rsidRDefault="007A7945">
      <w:pPr>
        <w:jc w:val="center"/>
        <w:rPr>
          <w:sz w:val="28"/>
        </w:rPr>
      </w:pPr>
      <w:r>
        <w:rPr>
          <w:b/>
          <w:sz w:val="28"/>
        </w:rPr>
        <w:t>на 2023 год и на плановый период 2024 и 2025 годов</w:t>
      </w:r>
    </w:p>
    <w:p w14:paraId="2E000000" w14:textId="77777777" w:rsidR="005104F3" w:rsidRDefault="005104F3">
      <w:pPr>
        <w:pStyle w:val="ConsPlusNonformat"/>
        <w:ind w:firstLine="684"/>
        <w:jc w:val="both"/>
        <w:rPr>
          <w:rFonts w:ascii="Times New Roman" w:hAnsi="Times New Roman"/>
          <w:sz w:val="28"/>
        </w:rPr>
      </w:pPr>
    </w:p>
    <w:p w14:paraId="2F000000" w14:textId="77777777" w:rsidR="005104F3" w:rsidRDefault="007A7945">
      <w:pPr>
        <w:ind w:firstLine="684"/>
        <w:jc w:val="both"/>
        <w:rPr>
          <w:sz w:val="28"/>
        </w:rPr>
      </w:pPr>
      <w:proofErr w:type="gramStart"/>
      <w:r>
        <w:rPr>
          <w:sz w:val="28"/>
        </w:rPr>
        <w:t>В основу прогноза расходов местного бюджета положены Федеральные законы от 31 июля 1998 года № 145-ФЗ «Бюджетный кодекс Российской Федерации» (с учетом изменений и дополнений), от 21.12.2021 № 414-ФЗ «Об общих принципах организации публичной власти</w:t>
      </w:r>
      <w:r>
        <w:rPr>
          <w:sz w:val="28"/>
        </w:rPr>
        <w:br/>
        <w:t>в субъектах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годов)», </w:t>
      </w:r>
      <w:r>
        <w:rPr>
          <w:sz w:val="28"/>
          <w:shd w:val="clear" w:color="auto" w:fill="FFD821"/>
        </w:rPr>
        <w:t>Основные</w:t>
      </w:r>
      <w:proofErr w:type="gramEnd"/>
      <w:r>
        <w:rPr>
          <w:sz w:val="28"/>
          <w:shd w:val="clear" w:color="auto" w:fill="FFD821"/>
        </w:rPr>
        <w:t xml:space="preserve"> направления бюджетной и налоговой политики Курской области на 2023 год и на плановый период 2024 и 2025 годов, утвержденные распоряжением Администрации Курской области </w:t>
      </w:r>
      <w:r>
        <w:rPr>
          <w:sz w:val="28"/>
          <w:shd w:val="clear" w:color="auto" w:fill="FFD821"/>
        </w:rPr>
        <w:br/>
        <w:t>от 9 сентября 2022 года № 706-ра,</w:t>
      </w:r>
      <w:r>
        <w:rPr>
          <w:sz w:val="28"/>
        </w:rPr>
        <w:t xml:space="preserve"> а также проект федерального закона </w:t>
      </w:r>
      <w:r>
        <w:rPr>
          <w:sz w:val="28"/>
        </w:rPr>
        <w:br/>
        <w:t>«О федеральном бюджете на 2023 год и на плановый период 2024 и 2025 годов».</w:t>
      </w:r>
    </w:p>
    <w:p w14:paraId="30000000" w14:textId="77777777" w:rsidR="005104F3" w:rsidRDefault="005104F3">
      <w:pPr>
        <w:pStyle w:val="a1"/>
        <w:spacing w:after="0"/>
        <w:ind w:firstLine="709"/>
        <w:jc w:val="both"/>
        <w:rPr>
          <w:sz w:val="28"/>
        </w:rPr>
      </w:pPr>
    </w:p>
    <w:p w14:paraId="31000000" w14:textId="462EBE7D" w:rsidR="005104F3" w:rsidRDefault="007A7945">
      <w:pPr>
        <w:pStyle w:val="a5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Общие подходы к планированию расходов бюджета      муниципального образования «</w:t>
      </w:r>
      <w:proofErr w:type="spellStart"/>
      <w:r w:rsidR="00F61395">
        <w:rPr>
          <w:b/>
          <w:sz w:val="28"/>
        </w:rPr>
        <w:t>Китаевский</w:t>
      </w:r>
      <w:proofErr w:type="spellEnd"/>
      <w:r>
        <w:rPr>
          <w:b/>
          <w:sz w:val="28"/>
        </w:rPr>
        <w:t xml:space="preserve"> сельсовет» </w:t>
      </w:r>
      <w:proofErr w:type="spellStart"/>
      <w:r>
        <w:rPr>
          <w:b/>
          <w:sz w:val="28"/>
        </w:rPr>
        <w:t>Медвенского</w:t>
      </w:r>
      <w:proofErr w:type="spellEnd"/>
      <w:r>
        <w:rPr>
          <w:b/>
          <w:sz w:val="28"/>
        </w:rPr>
        <w:t xml:space="preserve"> района Курской области на 2022 год и на плановый период 2023 и 2024 годов</w:t>
      </w:r>
    </w:p>
    <w:p w14:paraId="32000000" w14:textId="1EB8E5C2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Планирование бюджетных ассигнований бюджета поселения осуществляется в соответствии с расходными обязательствами, установленными федеральными законами и законами Курской области, нормативными правовыми актами Курской области, муниципальными правовыми актами, решением Собрания депутатов</w:t>
      </w:r>
      <w:r w:rsidR="00F61395">
        <w:rPr>
          <w:sz w:val="28"/>
          <w:shd w:val="clear" w:color="auto" w:fill="FFD821"/>
        </w:rPr>
        <w:t xml:space="preserve"> </w:t>
      </w:r>
      <w:proofErr w:type="spellStart"/>
      <w:r w:rsidR="00F61395">
        <w:rPr>
          <w:sz w:val="28"/>
          <w:shd w:val="clear" w:color="auto" w:fill="FFD821"/>
        </w:rPr>
        <w:t>Китаевкого</w:t>
      </w:r>
      <w:proofErr w:type="spellEnd"/>
      <w:r w:rsidR="00F61395">
        <w:rPr>
          <w:sz w:val="28"/>
          <w:shd w:val="clear" w:color="auto" w:fill="FFD821"/>
        </w:rPr>
        <w:t xml:space="preserve"> </w:t>
      </w:r>
      <w:r>
        <w:rPr>
          <w:sz w:val="28"/>
        </w:rPr>
        <w:t xml:space="preserve">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от  года № «Об утверждении Положения о бюджетном процессе в муниципальном образовании «</w:t>
      </w:r>
      <w:proofErr w:type="spellStart"/>
      <w:r w:rsidR="00F61395">
        <w:rPr>
          <w:sz w:val="28"/>
          <w:shd w:val="clear" w:color="auto" w:fill="FFD821"/>
        </w:rPr>
        <w:t>Китаевский</w:t>
      </w:r>
      <w:proofErr w:type="spellEnd"/>
      <w:r w:rsidR="00F61395">
        <w:rPr>
          <w:sz w:val="28"/>
          <w:shd w:val="clear" w:color="auto" w:fill="FFD821"/>
        </w:rPr>
        <w:t xml:space="preserve"> </w:t>
      </w:r>
      <w:r>
        <w:rPr>
          <w:sz w:val="28"/>
        </w:rPr>
        <w:t xml:space="preserve">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области» (с учетом изменений и дополнений), договорами и соглашениями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 xml:space="preserve">заключенными </w:t>
      </w:r>
      <w:proofErr w:type="spellStart"/>
      <w:r w:rsidR="00F61395">
        <w:rPr>
          <w:sz w:val="28"/>
        </w:rPr>
        <w:t>Китаевским</w:t>
      </w:r>
      <w:proofErr w:type="spellEnd"/>
      <w:r>
        <w:rPr>
          <w:sz w:val="28"/>
        </w:rPr>
        <w:t xml:space="preserve"> сельсоветом, </w:t>
      </w:r>
      <w:r>
        <w:rPr>
          <w:sz w:val="28"/>
        </w:rPr>
        <w:lastRenderedPageBreak/>
        <w:t>исполнение которых должно происходить в 2023 году (в 2023 году и в плановом периоде 2024-2025 годов) за счет средств бюджета поселения (за исключением целевых межбюджетных трансфертов из федерального и областного бюджетов).</w:t>
      </w:r>
      <w:proofErr w:type="gramEnd"/>
      <w:r>
        <w:rPr>
          <w:sz w:val="28"/>
        </w:rPr>
        <w:t xml:space="preserve"> Планирование расходов бюджета на 2023-2025 годы осуществляется в рамках муниципальных программ и непрограммных мероприятий.</w:t>
      </w:r>
    </w:p>
    <w:p w14:paraId="33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2. Расчёт бюджетных ассигнований может осуществляться:</w:t>
      </w:r>
    </w:p>
    <w:p w14:paraId="34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а) нормативным методом - расчет объема бюджетных ассигнований на основе нормативов, утвержденных в соответствующем правовом акте, отражающих уровень использования ресурсов (материальных, трудовых, финансовых);</w:t>
      </w:r>
    </w:p>
    <w:p w14:paraId="35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)м</w:t>
      </w:r>
      <w:proofErr w:type="gramEnd"/>
      <w:r>
        <w:rPr>
          <w:sz w:val="28"/>
        </w:rPr>
        <w:t>етодом индексации - объем бюджетных ассигнований рассчитывается путем индексации на прогнозируемый среднегодовой индекс потребительских цен (иной коэффициент) объема бюджетных ассигнований текущего финансового года;</w:t>
      </w:r>
    </w:p>
    <w:p w14:paraId="36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в) плановым методом - установление объема бюджетных ассигнований в соответствии с показателями, указанными в муниципальной программе, инвестиционном проекте, договоре, контракте, соглашении, соответствующем правовом акте, а также на основе прямого счета и калькуляции стоимости (отдельных элементов стоимости) муниципальных услуг (работ) и программных мероприятий;</w:t>
      </w:r>
    </w:p>
    <w:p w14:paraId="37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>ным методом, отличным от перечисленных или сочетающим перечисленные методы.</w:t>
      </w:r>
    </w:p>
    <w:p w14:paraId="38000000" w14:textId="77777777" w:rsidR="005104F3" w:rsidRDefault="007A7945">
      <w:pPr>
        <w:pStyle w:val="a1"/>
        <w:numPr>
          <w:ilvl w:val="0"/>
          <w:numId w:val="2"/>
        </w:numPr>
        <w:tabs>
          <w:tab w:val="left" w:pos="0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>За основу расчёта предельных объемов бюджетных ассигнований на 2023 год и плановый период 2024-2025 годов по действующим расходным обязательствам, доводимых до ГРБС, принимаются показатели отчетного года, скорректированные на суммы бюджетных ассигнований:</w:t>
      </w:r>
    </w:p>
    <w:p w14:paraId="39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- производимых в соответствии с разовыми решениями или решениями, срок действия которых ограничен текущим финансовым годом;</w:t>
      </w:r>
      <w:proofErr w:type="gramEnd"/>
    </w:p>
    <w:p w14:paraId="3A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возникших в результате изменения состава и (или) полномочий (функций) главных распорядителей;</w:t>
      </w:r>
    </w:p>
    <w:p w14:paraId="3B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возникших в результате структурных и организационных преобразований в установленных сферах деятельности;</w:t>
      </w:r>
    </w:p>
    <w:p w14:paraId="3C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- необходимых для реализации решений, принятых или планируемых к принятию в текущем году и подлежащих учету при уточнении бюджета на текущий финансовый год (повышение в течение текущего года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>, уточнение объема ассигнований, направляемых на исполнение публичных обязательств в соответствии с муниципальными правовыми актами);</w:t>
      </w:r>
    </w:p>
    <w:p w14:paraId="3D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-финансовое обеспечение которых, осуществляется за счёт межбюджетных трансфертов, имеющих целевое назначение;</w:t>
      </w:r>
    </w:p>
    <w:p w14:paraId="3E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других ассигнований, имеющих отраслевую специфику планирования.</w:t>
      </w:r>
    </w:p>
    <w:p w14:paraId="3F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Если совокупный предельный объем бюджетных ассигнований, сформированный в соответствии с настоящей методикой, превышает общий </w:t>
      </w:r>
      <w:r>
        <w:rPr>
          <w:sz w:val="28"/>
        </w:rPr>
        <w:lastRenderedPageBreak/>
        <w:t>прогнозируемый объем финансовых ресурсов (объем собственных доходов проекта бюджета поселения, объем безвозмездных поступлений и объем поступлений по источникам финансирования дефицита бюджета за вычетом выплат из источников финансирования дефицита бюджета), для обеспечения сбалансированности проекта бюджета поселения включение ассигнований на исполнение принимаемых расходных обязательств осуществляется с учетом предложений</w:t>
      </w:r>
      <w:proofErr w:type="gramEnd"/>
      <w:r>
        <w:rPr>
          <w:sz w:val="28"/>
        </w:rPr>
        <w:t xml:space="preserve"> главных распорядителей о перераспределении (оптимизации) бюджетных ассигнований на исполнение действующих расходных обязательств.</w:t>
      </w:r>
    </w:p>
    <w:p w14:paraId="40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3. Формирование объема бюджетных ассигнований осуществляется из необходимости обеспечения исполнения в первоочередном порядке:</w:t>
      </w:r>
    </w:p>
    <w:p w14:paraId="41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публичных нормативных и приравненных к ним обязательств;</w:t>
      </w:r>
    </w:p>
    <w:p w14:paraId="42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-расходов на оплату труда и начислениям на оплату труда;</w:t>
      </w:r>
    </w:p>
    <w:p w14:paraId="43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 оплаты коммунальных услуг;</w:t>
      </w:r>
    </w:p>
    <w:p w14:paraId="44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-налогов, сборов и других обязательных платежей в бюджет;</w:t>
      </w:r>
    </w:p>
    <w:p w14:paraId="45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-соблюдения условий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расходов из федерального и областного бюджета.</w:t>
      </w:r>
    </w:p>
    <w:p w14:paraId="46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1) При расчете расходов на оплату труда применяются условия оплаты, установленные действующими муниципальными правовыми </w:t>
      </w:r>
      <w:proofErr w:type="spellStart"/>
      <w:r>
        <w:rPr>
          <w:sz w:val="28"/>
        </w:rPr>
        <w:t>актами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сходя</w:t>
      </w:r>
      <w:proofErr w:type="spellEnd"/>
      <w:r>
        <w:rPr>
          <w:sz w:val="28"/>
        </w:rPr>
        <w:t xml:space="preserve"> из утвержденных структур, а также установленных для Курской области нормативов формирования расходов на содержание органов государственной власти субъекта Российской Федерации;.</w:t>
      </w:r>
    </w:p>
    <w:p w14:paraId="47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2)по начислениям на оплату труда в соответствии с установленными тарифами страховых взносов в государственные внебюджетные фонды </w:t>
      </w:r>
      <w:r>
        <w:rPr>
          <w:sz w:val="28"/>
        </w:rPr>
        <w:br/>
        <w:t>в размере 30,2%;</w:t>
      </w:r>
    </w:p>
    <w:p w14:paraId="48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3)Расходы на оплату коммунальных услуг определяются исходя из потребления </w:t>
      </w:r>
      <w:proofErr w:type="gramStart"/>
      <w:r>
        <w:rPr>
          <w:sz w:val="28"/>
        </w:rPr>
        <w:t>тепло-энергоресурсов</w:t>
      </w:r>
      <w:proofErr w:type="gramEnd"/>
      <w:r>
        <w:rPr>
          <w:sz w:val="28"/>
        </w:rPr>
        <w:t xml:space="preserve"> в натуральном выражении в отчетном году, тарифов по видам услуг с учетом прогноза показателей инфляции.</w:t>
      </w:r>
    </w:p>
    <w:p w14:paraId="49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4) 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в соответствии с действующим законодательством, регламентирующим порядок начисления и уплаты налогов (сборов), исходя из прогноза налогооблагаемой базы и налоговых ставок, с учетом сроков уплаты налогов.</w:t>
      </w:r>
      <w:proofErr w:type="gramEnd"/>
    </w:p>
    <w:p w14:paraId="4A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>5) Планирование бюджетных ассигнований на обеспечение выполнения функций муниципальных казенных учреждений, в том числе по оказанию муниципальных услуг (выполнение работ) физическим и (или) юридическим лицам, осуществляется в соответствии с показателями бюджетной сметы и общими подходами к планированию бюджетных ассигнований проекта бюджета поселения.</w:t>
      </w:r>
    </w:p>
    <w:p w14:paraId="4B000000" w14:textId="0DD3719C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6) Бюджетные ассигнования на исполнение обязательств по погашению и обслуживанию муниципального долга рассчитываются в соответствии с договорами, контрактами и соглашениями, определяющими условия привлечения, обращения и погашения долговых обязательств Администрации </w:t>
      </w:r>
      <w:proofErr w:type="spellStart"/>
      <w:r w:rsidR="00F61395">
        <w:rPr>
          <w:sz w:val="28"/>
        </w:rPr>
        <w:lastRenderedPageBreak/>
        <w:t>Китаевского</w:t>
      </w:r>
      <w:proofErr w:type="spellEnd"/>
      <w:r w:rsidR="00F61395">
        <w:rPr>
          <w:sz w:val="28"/>
        </w:rPr>
        <w:t xml:space="preserve"> </w:t>
      </w:r>
      <w:r>
        <w:rPr>
          <w:sz w:val="28"/>
        </w:rPr>
        <w:t xml:space="preserve"> сельсовета, с учетом прогноза объема задолженности по каждому долговому обязательству и сроков погашения ранее привлеченных заемных средств.</w:t>
      </w:r>
    </w:p>
    <w:p w14:paraId="4C000000" w14:textId="77777777" w:rsidR="005104F3" w:rsidRDefault="007A7945">
      <w:pPr>
        <w:pStyle w:val="a1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7)</w:t>
      </w:r>
      <w:r>
        <w:rPr>
          <w:rStyle w:val="af6"/>
          <w:sz w:val="28"/>
        </w:rPr>
        <w:t xml:space="preserve"> </w:t>
      </w:r>
      <w:r>
        <w:rPr>
          <w:sz w:val="28"/>
        </w:rPr>
        <w:t>Планирование бюджетных ассигнований на расходные обязательства, исполняемые за счет средств от других бюджетов бюджетной системы Российской Федерации, осуществляется с учетом объемов и требований, предусмотренных соответствующими постановлениями Правительства Российской Федерации, Правительства Курской области, другими нормативными правовыми актами и соглашениями.</w:t>
      </w:r>
      <w:proofErr w:type="gramEnd"/>
    </w:p>
    <w:p w14:paraId="4D000000" w14:textId="26CBA1B6" w:rsidR="005104F3" w:rsidRDefault="007A7945">
      <w:pPr>
        <w:pStyle w:val="a1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8) В составе расходов бюджета </w:t>
      </w:r>
      <w:proofErr w:type="spellStart"/>
      <w:r w:rsidR="00F61395">
        <w:rPr>
          <w:sz w:val="28"/>
        </w:rPr>
        <w:t>Китаевского</w:t>
      </w:r>
      <w:proofErr w:type="spellEnd"/>
      <w:r>
        <w:rPr>
          <w:sz w:val="28"/>
        </w:rPr>
        <w:t xml:space="preserve"> сельского поселения могут предусматриваться бюджетные ассигнования на погашение кредиторской задолженности.</w:t>
      </w:r>
    </w:p>
    <w:p w14:paraId="4E000000" w14:textId="77777777" w:rsidR="005104F3" w:rsidRDefault="007A7945">
      <w:pPr>
        <w:pStyle w:val="a5"/>
        <w:ind w:firstLine="709"/>
        <w:jc w:val="both"/>
        <w:rPr>
          <w:sz w:val="28"/>
        </w:rPr>
      </w:pPr>
      <w:r>
        <w:rPr>
          <w:sz w:val="28"/>
        </w:rPr>
        <w:t>Иные расходные обязательства принимаются в пределах возможностей проекта бюджета поселения и приоритетности расходов с учетом основных направлений бюджетной политики на 2023 год и плановый период 2024-2025годов.</w:t>
      </w:r>
    </w:p>
    <w:p w14:paraId="4F000000" w14:textId="77777777" w:rsidR="005104F3" w:rsidRDefault="005104F3">
      <w:pPr>
        <w:pStyle w:val="a5"/>
        <w:ind w:firstLine="709"/>
        <w:jc w:val="both"/>
        <w:rPr>
          <w:b/>
          <w:sz w:val="28"/>
        </w:rPr>
      </w:pPr>
    </w:p>
    <w:p w14:paraId="50000000" w14:textId="2ED88D43" w:rsidR="005104F3" w:rsidRDefault="007A7945" w:rsidP="007A7945">
      <w:pPr>
        <w:spacing w:before="134" w:after="134"/>
        <w:jc w:val="both"/>
        <w:rPr>
          <w:sz w:val="28"/>
        </w:rPr>
      </w:pPr>
      <w:r>
        <w:rPr>
          <w:sz w:val="28"/>
        </w:rPr>
        <w:t xml:space="preserve">I. Общие подходы к планированию расходов бюджета </w:t>
      </w:r>
      <w:proofErr w:type="spellStart"/>
      <w:r w:rsidR="00F61395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</w:t>
      </w:r>
      <w:r>
        <w:t xml:space="preserve"> </w:t>
      </w:r>
      <w:r>
        <w:rPr>
          <w:sz w:val="28"/>
        </w:rPr>
        <w:t>на 2023 год и на плановый период 2024 и 2025 годов</w:t>
      </w:r>
    </w:p>
    <w:p w14:paraId="51000000" w14:textId="7593FD86" w:rsidR="005104F3" w:rsidRDefault="007A7945" w:rsidP="007A7945">
      <w:pPr>
        <w:spacing w:before="134" w:after="134"/>
        <w:jc w:val="both"/>
        <w:rPr>
          <w:sz w:val="28"/>
        </w:rPr>
      </w:pPr>
      <w:r>
        <w:rPr>
          <w:sz w:val="28"/>
        </w:rPr>
        <w:t xml:space="preserve">Планирование объемов на 2023 год и на плановый период 2024 и 2025 годов осуществляется в рамках муниципальных программ </w:t>
      </w:r>
      <w:r w:rsidR="00F61395">
        <w:rPr>
          <w:sz w:val="28"/>
        </w:rPr>
        <w:t xml:space="preserve"> </w:t>
      </w:r>
      <w:proofErr w:type="spellStart"/>
      <w:r w:rsidR="00F61395">
        <w:rPr>
          <w:sz w:val="28"/>
        </w:rPr>
        <w:t>Китаевского</w:t>
      </w:r>
      <w:proofErr w:type="spellEnd"/>
      <w:r w:rsidR="00F61395">
        <w:rPr>
          <w:sz w:val="28"/>
        </w:rPr>
        <w:t xml:space="preserve"> </w:t>
      </w:r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и непрограммных мероприятий.</w:t>
      </w:r>
    </w:p>
    <w:p w14:paraId="52000000" w14:textId="5947F250" w:rsidR="005104F3" w:rsidRDefault="007A7945" w:rsidP="007A7945">
      <w:pPr>
        <w:spacing w:before="134" w:after="134"/>
        <w:jc w:val="both"/>
        <w:rPr>
          <w:sz w:val="28"/>
        </w:rPr>
      </w:pPr>
      <w:proofErr w:type="gramStart"/>
      <w:r>
        <w:rPr>
          <w:sz w:val="28"/>
        </w:rPr>
        <w:t xml:space="preserve">Формирование объема и структуры расходов бюджета </w:t>
      </w:r>
      <w:r w:rsidR="00F61395">
        <w:rPr>
          <w:sz w:val="28"/>
        </w:rPr>
        <w:t xml:space="preserve"> </w:t>
      </w:r>
      <w:proofErr w:type="spellStart"/>
      <w:r w:rsidR="00F61395">
        <w:rPr>
          <w:sz w:val="28"/>
        </w:rPr>
        <w:t>Китаевского</w:t>
      </w:r>
      <w:proofErr w:type="spellEnd"/>
      <w:r w:rsidR="00F61395">
        <w:rPr>
          <w:sz w:val="28"/>
        </w:rPr>
        <w:t xml:space="preserve"> </w:t>
      </w:r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2023 год и на плановый период 2024 и 2025 годов осуществляется исходя из «базовых» объемов бюджетных ассигнований на 2022 год на основании бюджетных ассигнований, утвержденных решением Собрания депутатов </w:t>
      </w:r>
      <w:proofErr w:type="spellStart"/>
      <w:r w:rsidR="00F61395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от 23.12.2021 года № 19/91 «О бюджете </w:t>
      </w:r>
      <w:proofErr w:type="spellStart"/>
      <w:r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</w:t>
      </w:r>
      <w:proofErr w:type="gramEnd"/>
      <w:r>
        <w:rPr>
          <w:sz w:val="28"/>
        </w:rPr>
        <w:t xml:space="preserve"> на 2022 год и на плановый период 2023 и 2024 годов» с учетом их доведения до уровня 2022 года по расходам длительного срока действия и оптимизации расходов несоциального характера. </w:t>
      </w:r>
    </w:p>
    <w:p w14:paraId="53000000" w14:textId="00063963" w:rsidR="005104F3" w:rsidRDefault="007A7945" w:rsidP="007A7945">
      <w:pPr>
        <w:spacing w:before="134" w:after="134"/>
        <w:jc w:val="both"/>
        <w:rPr>
          <w:sz w:val="28"/>
        </w:rPr>
      </w:pPr>
      <w:r>
        <w:rPr>
          <w:sz w:val="28"/>
        </w:rPr>
        <w:t>Планирование расходов бюджета муниципального образования "</w:t>
      </w:r>
      <w:proofErr w:type="spellStart"/>
      <w:r>
        <w:rPr>
          <w:sz w:val="28"/>
          <w:shd w:val="clear" w:color="auto" w:fill="FFD821"/>
        </w:rPr>
        <w:t>Китаевский</w:t>
      </w:r>
      <w:proofErr w:type="spellEnd"/>
      <w:r>
        <w:rPr>
          <w:sz w:val="28"/>
          <w:shd w:val="clear" w:color="auto" w:fill="FFD821"/>
        </w:rPr>
        <w:t xml:space="preserve"> </w:t>
      </w:r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осуществляется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14:paraId="54000000" w14:textId="17BE53D9" w:rsidR="005104F3" w:rsidRDefault="007A7945" w:rsidP="007A7945">
      <w:pPr>
        <w:spacing w:before="134" w:after="134"/>
        <w:jc w:val="both"/>
        <w:rPr>
          <w:sz w:val="28"/>
        </w:rPr>
      </w:pPr>
      <w:r>
        <w:rPr>
          <w:sz w:val="28"/>
        </w:rPr>
        <w:t>1) оплату труда работников органов местного самоуправления, финансируемых за счет средств бюджета  муниципального образования "</w:t>
      </w:r>
      <w:proofErr w:type="spellStart"/>
      <w:r>
        <w:rPr>
          <w:sz w:val="28"/>
          <w:shd w:val="clear" w:color="auto" w:fill="FFD821"/>
        </w:rPr>
        <w:t>Китаевский</w:t>
      </w:r>
      <w:proofErr w:type="spellEnd"/>
      <w:r>
        <w:rPr>
          <w:sz w:val="28"/>
          <w:shd w:val="clear" w:color="auto" w:fill="FFD821"/>
        </w:rPr>
        <w:t xml:space="preserve">  </w:t>
      </w:r>
      <w:r>
        <w:rPr>
          <w:sz w:val="28"/>
        </w:rPr>
        <w:t xml:space="preserve">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области, исходя из утвержденных структур, действующих на 1 августа 2022 года, и нормативных актов </w:t>
      </w:r>
      <w:proofErr w:type="spellStart"/>
      <w:r>
        <w:rPr>
          <w:sz w:val="28"/>
          <w:shd w:val="clear" w:color="auto" w:fill="FFD821"/>
        </w:rPr>
        <w:t>Китаевского</w:t>
      </w:r>
      <w:proofErr w:type="spellEnd"/>
      <w:r>
        <w:rPr>
          <w:sz w:val="28"/>
          <w:shd w:val="clear" w:color="auto" w:fill="FFD821"/>
        </w:rPr>
        <w:t xml:space="preserve"> </w:t>
      </w:r>
      <w:r>
        <w:rPr>
          <w:sz w:val="28"/>
        </w:rPr>
        <w:t xml:space="preserve">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области, регулирующих оплату труда;</w:t>
      </w:r>
    </w:p>
    <w:p w14:paraId="55000000" w14:textId="07D06A8F" w:rsidR="005104F3" w:rsidRDefault="007A7945" w:rsidP="007A7945">
      <w:pPr>
        <w:spacing w:before="134" w:after="134"/>
        <w:jc w:val="both"/>
        <w:rPr>
          <w:sz w:val="28"/>
        </w:rPr>
      </w:pPr>
      <w:r>
        <w:rPr>
          <w:sz w:val="28"/>
        </w:rPr>
        <w:t xml:space="preserve">2) текущее содержание органов местного самоуправления - исходя их общих подходов к расчету бюджетных проектировок, а также установленных для  </w:t>
      </w:r>
      <w:r>
        <w:rPr>
          <w:sz w:val="28"/>
        </w:rPr>
        <w:lastRenderedPageBreak/>
        <w:t>муниципального образования "</w:t>
      </w:r>
      <w:proofErr w:type="spellStart"/>
      <w:r>
        <w:rPr>
          <w:sz w:val="28"/>
          <w:shd w:val="clear" w:color="auto" w:fill="FFD821"/>
        </w:rPr>
        <w:t>Китаевский</w:t>
      </w:r>
      <w:proofErr w:type="spellEnd"/>
      <w:r>
        <w:rPr>
          <w:sz w:val="28"/>
          <w:shd w:val="clear" w:color="auto" w:fill="FFD821"/>
        </w:rPr>
        <w:t xml:space="preserve"> </w:t>
      </w:r>
      <w:r>
        <w:rPr>
          <w:sz w:val="28"/>
        </w:rPr>
        <w:t xml:space="preserve"> 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нормативов формирования расходов на содержание органов местного самоуправления;</w:t>
      </w:r>
    </w:p>
    <w:p w14:paraId="56000000" w14:textId="77777777" w:rsidR="005104F3" w:rsidRDefault="007A7945" w:rsidP="007A7945">
      <w:pPr>
        <w:spacing w:before="134" w:after="134"/>
        <w:jc w:val="both"/>
        <w:rPr>
          <w:sz w:val="28"/>
        </w:rPr>
      </w:pPr>
      <w:r>
        <w:rPr>
          <w:sz w:val="28"/>
        </w:rPr>
        <w:t>3) социальные выплаты (пособия, доплаты, надбавки) в соответствии с действующим законодательством исходя из ожидаемой численности получателей, с учетом ее изменения и размеров выплат.</w:t>
      </w:r>
    </w:p>
    <w:p w14:paraId="57000000" w14:textId="513CEC91" w:rsidR="005104F3" w:rsidRDefault="007A7945" w:rsidP="007A7945">
      <w:pPr>
        <w:spacing w:before="134" w:after="134"/>
        <w:jc w:val="both"/>
        <w:rPr>
          <w:sz w:val="28"/>
        </w:rPr>
      </w:pPr>
      <w:r>
        <w:rPr>
          <w:sz w:val="28"/>
        </w:rPr>
        <w:t>При формировании бюджета муниципального образования "</w:t>
      </w:r>
      <w:proofErr w:type="spellStart"/>
      <w:r>
        <w:rPr>
          <w:sz w:val="28"/>
          <w:shd w:val="clear" w:color="auto" w:fill="FFD821"/>
        </w:rPr>
        <w:t>Китаевский</w:t>
      </w:r>
      <w:proofErr w:type="spellEnd"/>
      <w:r>
        <w:rPr>
          <w:sz w:val="28"/>
          <w:shd w:val="clear" w:color="auto" w:fill="FFD821"/>
        </w:rPr>
        <w:t xml:space="preserve"> </w:t>
      </w:r>
      <w:r>
        <w:rPr>
          <w:sz w:val="28"/>
        </w:rPr>
        <w:t xml:space="preserve">сельсовет"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2023 год и на плановый период 2024 и 2025 годов применены общие подходы к расчету бюджетных проектировок:</w:t>
      </w:r>
    </w:p>
    <w:p w14:paraId="58000000" w14:textId="77777777" w:rsidR="005104F3" w:rsidRDefault="007A7945" w:rsidP="007A7945">
      <w:pPr>
        <w:spacing w:before="134" w:after="134"/>
        <w:jc w:val="both"/>
        <w:rPr>
          <w:sz w:val="28"/>
        </w:rPr>
      </w:pPr>
      <w:r>
        <w:rPr>
          <w:sz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14:paraId="59000000" w14:textId="54AB0A02" w:rsidR="005104F3" w:rsidRDefault="007A7945" w:rsidP="007A7945">
      <w:pPr>
        <w:spacing w:before="134" w:after="134"/>
        <w:jc w:val="both"/>
        <w:rPr>
          <w:sz w:val="28"/>
        </w:rPr>
      </w:pPr>
      <w:r>
        <w:rPr>
          <w:sz w:val="28"/>
        </w:rPr>
        <w:t>2)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областного бюджета согласно статьям 85 и 174.2 БК РФ, учитывая положения порядка конкурсного распределения принимаемых расходных обязательств бюджета</w:t>
      </w:r>
      <w:r>
        <w:rPr>
          <w:sz w:val="28"/>
          <w:shd w:val="clear" w:color="auto" w:fill="FFD821"/>
        </w:rPr>
        <w:t xml:space="preserve"> </w:t>
      </w:r>
      <w:proofErr w:type="spellStart"/>
      <w:r>
        <w:rPr>
          <w:sz w:val="28"/>
          <w:shd w:val="clear" w:color="auto" w:fill="FFD821"/>
        </w:rPr>
        <w:t>Китаевского</w:t>
      </w:r>
      <w:proofErr w:type="spellEnd"/>
      <w:r>
        <w:rPr>
          <w:sz w:val="28"/>
          <w:shd w:val="clear" w:color="auto" w:fill="FFD821"/>
        </w:rPr>
        <w:t xml:space="preserve"> </w:t>
      </w:r>
      <w:r>
        <w:rPr>
          <w:sz w:val="28"/>
        </w:rPr>
        <w:t xml:space="preserve">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</w:t>
      </w:r>
      <w:proofErr w:type="gramStart"/>
      <w:r>
        <w:rPr>
          <w:sz w:val="28"/>
        </w:rPr>
        <w:t xml:space="preserve"> ;</w:t>
      </w:r>
      <w:proofErr w:type="gramEnd"/>
    </w:p>
    <w:p w14:paraId="5A000000" w14:textId="10380812" w:rsidR="005104F3" w:rsidRDefault="007A7945" w:rsidP="007A7945">
      <w:pPr>
        <w:spacing w:before="134" w:after="134"/>
        <w:jc w:val="both"/>
        <w:rPr>
          <w:sz w:val="28"/>
        </w:rPr>
      </w:pPr>
      <w:proofErr w:type="gramStart"/>
      <w:r>
        <w:rPr>
          <w:sz w:val="28"/>
        </w:rPr>
        <w:t xml:space="preserve">3) бюджетные ассигнования, финансовое обеспечение которых осуществляется за счет средств областного и федерального бюджета в виде целевых субвенций и субсидий, предусматриваются в объемах, отраженных в проекте закона Курской области «Об областном бюджете на 2023 год и на плановый период 2024 и 2025 годов» на момент формирования бюджета </w:t>
      </w:r>
      <w:proofErr w:type="spellStart"/>
      <w:r>
        <w:rPr>
          <w:sz w:val="28"/>
          <w:shd w:val="clear" w:color="auto" w:fill="FFD821"/>
        </w:rPr>
        <w:t>Китаевского</w:t>
      </w:r>
      <w:proofErr w:type="spellEnd"/>
      <w:r>
        <w:rPr>
          <w:sz w:val="28"/>
          <w:shd w:val="clear" w:color="auto" w:fill="FFD821"/>
        </w:rPr>
        <w:t xml:space="preserve"> </w:t>
      </w:r>
      <w:r>
        <w:rPr>
          <w:sz w:val="28"/>
        </w:rPr>
        <w:t xml:space="preserve">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области;</w:t>
      </w:r>
      <w:proofErr w:type="gramEnd"/>
    </w:p>
    <w:p w14:paraId="5B000000" w14:textId="77777777" w:rsidR="005104F3" w:rsidRDefault="007A7945" w:rsidP="007A7945">
      <w:pPr>
        <w:spacing w:before="134" w:after="134"/>
        <w:jc w:val="both"/>
        <w:rPr>
          <w:sz w:val="28"/>
        </w:rPr>
      </w:pPr>
      <w:r>
        <w:rPr>
          <w:sz w:val="28"/>
        </w:rPr>
        <w:t xml:space="preserve">4) обеспечение </w:t>
      </w:r>
      <w:proofErr w:type="gramStart"/>
      <w:r>
        <w:rPr>
          <w:sz w:val="28"/>
        </w:rPr>
        <w:t>сохранения целевых показателей указов Президента Российской Федерации</w:t>
      </w:r>
      <w:proofErr w:type="gramEnd"/>
      <w:r>
        <w:rPr>
          <w:sz w:val="28"/>
        </w:rPr>
        <w:t xml:space="preserve"> от 1 июня 2012 года № 761, от 7 мая 2012 года №597 и от 28 декабря 2012 года № 1688, а также реализация мероприятий, предусмотренных Указами президента Российской Федерации от 7 мая 2018 года № 204 и от 21 июля 2020 года № 474;</w:t>
      </w:r>
    </w:p>
    <w:p w14:paraId="5C000000" w14:textId="77777777" w:rsidR="005104F3" w:rsidRDefault="007A7945" w:rsidP="007A7945">
      <w:pPr>
        <w:spacing w:before="134" w:after="134"/>
        <w:jc w:val="both"/>
        <w:rPr>
          <w:sz w:val="28"/>
        </w:rPr>
      </w:pPr>
      <w:r>
        <w:rPr>
          <w:sz w:val="28"/>
        </w:rPr>
        <w:t xml:space="preserve">5) расходы на обеспечение условий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из областного бюджета определены исходя из предварительных объемов, доведенных органами исполнительной власти субъекта, в том числе по заключенным предварительным соглашениям.</w:t>
      </w:r>
    </w:p>
    <w:sectPr w:rsidR="005104F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1C58"/>
    <w:multiLevelType w:val="multilevel"/>
    <w:tmpl w:val="0482614E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3D3206"/>
    <w:multiLevelType w:val="multilevel"/>
    <w:tmpl w:val="BEE0404C"/>
    <w:lvl w:ilvl="0">
      <w:start w:val="1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2">
    <w:nsid w:val="7A5F7375"/>
    <w:multiLevelType w:val="multilevel"/>
    <w:tmpl w:val="3C40ADA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F3"/>
    <w:rsid w:val="005104F3"/>
    <w:rsid w:val="00745DD7"/>
    <w:rsid w:val="007A7945"/>
    <w:rsid w:val="00F6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0"/>
    <w:next w:val="a1"/>
    <w:link w:val="30"/>
    <w:uiPriority w:val="9"/>
    <w:qFormat/>
    <w:pPr>
      <w:numPr>
        <w:ilvl w:val="2"/>
        <w:numId w:val="3"/>
      </w:numPr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0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7">
    <w:name w:val="Символ нумерации"/>
    <w:link w:val="a8"/>
  </w:style>
  <w:style w:type="character" w:customStyle="1" w:styleId="a8">
    <w:name w:val="Символ нумерации"/>
    <w:link w:val="a7"/>
  </w:style>
  <w:style w:type="paragraph" w:styleId="31">
    <w:name w:val="List Bullet 3"/>
    <w:basedOn w:val="a9"/>
    <w:link w:val="32"/>
    <w:pPr>
      <w:ind w:left="1080" w:hanging="360"/>
    </w:pPr>
  </w:style>
  <w:style w:type="character" w:customStyle="1" w:styleId="32">
    <w:name w:val="Маркированный список 3 Знак"/>
    <w:basedOn w:val="aa"/>
    <w:link w:val="31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ab"/>
    <w:link w:val="3"/>
    <w:rPr>
      <w:rFonts w:ascii="Arial" w:hAnsi="Arial"/>
      <w:b/>
      <w:sz w:val="28"/>
    </w:rPr>
  </w:style>
  <w:style w:type="paragraph" w:customStyle="1" w:styleId="ac">
    <w:name w:val="Заголовок таблицы"/>
    <w:basedOn w:val="a5"/>
    <w:link w:val="ad"/>
    <w:pPr>
      <w:jc w:val="center"/>
    </w:pPr>
    <w:rPr>
      <w:b/>
    </w:rPr>
  </w:style>
  <w:style w:type="character" w:customStyle="1" w:styleId="ad">
    <w:name w:val="Заголовок таблицы"/>
    <w:basedOn w:val="a6"/>
    <w:link w:val="ac"/>
    <w:rPr>
      <w:b/>
      <w:sz w:val="24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0"/>
    <w:link w:val="12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1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0"/>
    <w:link w:val="a1"/>
    <w:rPr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af">
    <w:name w:val="Обратный отступ"/>
    <w:basedOn w:val="a1"/>
    <w:link w:val="af0"/>
    <w:pPr>
      <w:tabs>
        <w:tab w:val="left" w:pos="0"/>
      </w:tabs>
      <w:ind w:left="567" w:hanging="283"/>
    </w:pPr>
  </w:style>
  <w:style w:type="character" w:customStyle="1" w:styleId="af0">
    <w:name w:val="Обратный отступ"/>
    <w:basedOn w:val="ae"/>
    <w:link w:val="af"/>
    <w:rPr>
      <w:sz w:val="24"/>
    </w:rPr>
  </w:style>
  <w:style w:type="paragraph" w:styleId="af1">
    <w:name w:val="Body Text First Indent"/>
    <w:basedOn w:val="a1"/>
    <w:link w:val="af2"/>
    <w:pPr>
      <w:ind w:firstLine="283"/>
    </w:pPr>
  </w:style>
  <w:style w:type="character" w:customStyle="1" w:styleId="af2">
    <w:name w:val="Красная строка Знак"/>
    <w:basedOn w:val="ae"/>
    <w:link w:val="af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0"/>
    <w:link w:val="1"/>
    <w:rPr>
      <w:b/>
      <w:sz w:val="36"/>
    </w:rPr>
  </w:style>
  <w:style w:type="paragraph" w:customStyle="1" w:styleId="a0">
    <w:name w:val="Заголовок"/>
    <w:basedOn w:val="a"/>
    <w:next w:val="a1"/>
    <w:link w:val="ab"/>
    <w:pPr>
      <w:keepNext/>
      <w:spacing w:before="240" w:after="120"/>
    </w:pPr>
    <w:rPr>
      <w:rFonts w:ascii="Arial" w:hAnsi="Arial"/>
      <w:sz w:val="28"/>
    </w:rPr>
  </w:style>
  <w:style w:type="character" w:customStyle="1" w:styleId="ab">
    <w:name w:val="Заголовок"/>
    <w:basedOn w:val="10"/>
    <w:link w:val="a0"/>
    <w:rPr>
      <w:rFonts w:ascii="Arial" w:hAnsi="Arial"/>
      <w:sz w:val="28"/>
    </w:rPr>
  </w:style>
  <w:style w:type="paragraph" w:customStyle="1" w:styleId="14">
    <w:name w:val="Гиперссылка1"/>
    <w:link w:val="af3"/>
    <w:rPr>
      <w:color w:val="000080"/>
      <w:u w:val="single"/>
    </w:rPr>
  </w:style>
  <w:style w:type="character" w:styleId="af3">
    <w:name w:val="Hyperlink"/>
    <w:link w:val="14"/>
    <w:rPr>
      <w:color w:val="00008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f4">
    <w:name w:val="Body Text Indent"/>
    <w:basedOn w:val="a"/>
    <w:link w:val="af5"/>
    <w:pPr>
      <w:ind w:firstLine="851"/>
      <w:jc w:val="both"/>
    </w:pPr>
  </w:style>
  <w:style w:type="character" w:customStyle="1" w:styleId="af5">
    <w:name w:val="Основной текст с отступом Знак"/>
    <w:basedOn w:val="10"/>
    <w:link w:val="af4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7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Строгий1"/>
    <w:link w:val="af6"/>
    <w:rPr>
      <w:b/>
    </w:rPr>
  </w:style>
  <w:style w:type="character" w:styleId="af6">
    <w:name w:val="Strong"/>
    <w:link w:val="18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9">
    <w:name w:val="List"/>
    <w:basedOn w:val="a1"/>
    <w:link w:val="aa"/>
  </w:style>
  <w:style w:type="character" w:customStyle="1" w:styleId="aa">
    <w:name w:val="Список Знак"/>
    <w:basedOn w:val="ae"/>
    <w:link w:val="a9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caption"/>
    <w:basedOn w:val="a"/>
    <w:link w:val="af8"/>
    <w:pPr>
      <w:spacing w:before="120" w:after="120"/>
    </w:pPr>
    <w:rPr>
      <w:i/>
    </w:rPr>
  </w:style>
  <w:style w:type="character" w:customStyle="1" w:styleId="af8">
    <w:name w:val="Название объекта Знак"/>
    <w:basedOn w:val="10"/>
    <w:link w:val="af7"/>
    <w:rPr>
      <w:i/>
      <w:sz w:val="24"/>
    </w:rPr>
  </w:style>
  <w:style w:type="paragraph" w:styleId="af9">
    <w:name w:val="Subtitle"/>
    <w:next w:val="a"/>
    <w:link w:val="afa"/>
    <w:uiPriority w:val="11"/>
    <w:qFormat/>
    <w:rPr>
      <w:rFonts w:ascii="XO Thames" w:hAnsi="XO Thames"/>
      <w:i/>
      <w:color w:val="616161"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43">
    <w:name w:val="List Number 4"/>
    <w:basedOn w:val="a9"/>
    <w:link w:val="44"/>
    <w:pPr>
      <w:ind w:left="1440" w:hanging="360"/>
    </w:pPr>
  </w:style>
  <w:style w:type="character" w:customStyle="1" w:styleId="44">
    <w:name w:val="Нумерованный список 4 Знак"/>
    <w:basedOn w:val="aa"/>
    <w:link w:val="43"/>
    <w:rPr>
      <w:sz w:val="24"/>
    </w:rPr>
  </w:style>
  <w:style w:type="paragraph" w:styleId="afb">
    <w:name w:val="Title"/>
    <w:next w:val="a"/>
    <w:link w:val="afc"/>
    <w:uiPriority w:val="10"/>
    <w:qFormat/>
    <w:rPr>
      <w:rFonts w:ascii="XO Thames" w:hAnsi="XO Thames"/>
      <w:b/>
      <w:sz w:val="52"/>
    </w:rPr>
  </w:style>
  <w:style w:type="character" w:customStyle="1" w:styleId="afc">
    <w:name w:val="Название Знак"/>
    <w:link w:val="afb"/>
    <w:rPr>
      <w:rFonts w:ascii="XO Thames" w:hAnsi="XO Thames"/>
      <w:b/>
      <w:sz w:val="52"/>
    </w:rPr>
  </w:style>
  <w:style w:type="paragraph" w:styleId="afd">
    <w:name w:val="List Number"/>
    <w:basedOn w:val="a9"/>
    <w:link w:val="afe"/>
    <w:pPr>
      <w:ind w:left="360" w:hanging="360"/>
    </w:pPr>
  </w:style>
  <w:style w:type="character" w:customStyle="1" w:styleId="afe">
    <w:name w:val="Нумерованный список Знак"/>
    <w:basedOn w:val="aa"/>
    <w:link w:val="afd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styleId="aff">
    <w:name w:val="Balloon Text"/>
    <w:basedOn w:val="a"/>
    <w:link w:val="aff0"/>
    <w:uiPriority w:val="99"/>
    <w:semiHidden/>
    <w:unhideWhenUsed/>
    <w:rsid w:val="00745DD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4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0"/>
    <w:next w:val="a1"/>
    <w:link w:val="30"/>
    <w:uiPriority w:val="9"/>
    <w:qFormat/>
    <w:pPr>
      <w:numPr>
        <w:ilvl w:val="2"/>
        <w:numId w:val="3"/>
      </w:numPr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0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7">
    <w:name w:val="Символ нумерации"/>
    <w:link w:val="a8"/>
  </w:style>
  <w:style w:type="character" w:customStyle="1" w:styleId="a8">
    <w:name w:val="Символ нумерации"/>
    <w:link w:val="a7"/>
  </w:style>
  <w:style w:type="paragraph" w:styleId="31">
    <w:name w:val="List Bullet 3"/>
    <w:basedOn w:val="a9"/>
    <w:link w:val="32"/>
    <w:pPr>
      <w:ind w:left="1080" w:hanging="360"/>
    </w:pPr>
  </w:style>
  <w:style w:type="character" w:customStyle="1" w:styleId="32">
    <w:name w:val="Маркированный список 3 Знак"/>
    <w:basedOn w:val="aa"/>
    <w:link w:val="31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ab"/>
    <w:link w:val="3"/>
    <w:rPr>
      <w:rFonts w:ascii="Arial" w:hAnsi="Arial"/>
      <w:b/>
      <w:sz w:val="28"/>
    </w:rPr>
  </w:style>
  <w:style w:type="paragraph" w:customStyle="1" w:styleId="ac">
    <w:name w:val="Заголовок таблицы"/>
    <w:basedOn w:val="a5"/>
    <w:link w:val="ad"/>
    <w:pPr>
      <w:jc w:val="center"/>
    </w:pPr>
    <w:rPr>
      <w:b/>
    </w:rPr>
  </w:style>
  <w:style w:type="character" w:customStyle="1" w:styleId="ad">
    <w:name w:val="Заголовок таблицы"/>
    <w:basedOn w:val="a6"/>
    <w:link w:val="ac"/>
    <w:rPr>
      <w:b/>
      <w:sz w:val="24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0"/>
    <w:link w:val="12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1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0"/>
    <w:link w:val="a1"/>
    <w:rPr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af">
    <w:name w:val="Обратный отступ"/>
    <w:basedOn w:val="a1"/>
    <w:link w:val="af0"/>
    <w:pPr>
      <w:tabs>
        <w:tab w:val="left" w:pos="0"/>
      </w:tabs>
      <w:ind w:left="567" w:hanging="283"/>
    </w:pPr>
  </w:style>
  <w:style w:type="character" w:customStyle="1" w:styleId="af0">
    <w:name w:val="Обратный отступ"/>
    <w:basedOn w:val="ae"/>
    <w:link w:val="af"/>
    <w:rPr>
      <w:sz w:val="24"/>
    </w:rPr>
  </w:style>
  <w:style w:type="paragraph" w:styleId="af1">
    <w:name w:val="Body Text First Indent"/>
    <w:basedOn w:val="a1"/>
    <w:link w:val="af2"/>
    <w:pPr>
      <w:ind w:firstLine="283"/>
    </w:pPr>
  </w:style>
  <w:style w:type="character" w:customStyle="1" w:styleId="af2">
    <w:name w:val="Красная строка Знак"/>
    <w:basedOn w:val="ae"/>
    <w:link w:val="af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0"/>
    <w:link w:val="1"/>
    <w:rPr>
      <w:b/>
      <w:sz w:val="36"/>
    </w:rPr>
  </w:style>
  <w:style w:type="paragraph" w:customStyle="1" w:styleId="a0">
    <w:name w:val="Заголовок"/>
    <w:basedOn w:val="a"/>
    <w:next w:val="a1"/>
    <w:link w:val="ab"/>
    <w:pPr>
      <w:keepNext/>
      <w:spacing w:before="240" w:after="120"/>
    </w:pPr>
    <w:rPr>
      <w:rFonts w:ascii="Arial" w:hAnsi="Arial"/>
      <w:sz w:val="28"/>
    </w:rPr>
  </w:style>
  <w:style w:type="character" w:customStyle="1" w:styleId="ab">
    <w:name w:val="Заголовок"/>
    <w:basedOn w:val="10"/>
    <w:link w:val="a0"/>
    <w:rPr>
      <w:rFonts w:ascii="Arial" w:hAnsi="Arial"/>
      <w:sz w:val="28"/>
    </w:rPr>
  </w:style>
  <w:style w:type="paragraph" w:customStyle="1" w:styleId="14">
    <w:name w:val="Гиперссылка1"/>
    <w:link w:val="af3"/>
    <w:rPr>
      <w:color w:val="000080"/>
      <w:u w:val="single"/>
    </w:rPr>
  </w:style>
  <w:style w:type="character" w:styleId="af3">
    <w:name w:val="Hyperlink"/>
    <w:link w:val="14"/>
    <w:rPr>
      <w:color w:val="00008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f4">
    <w:name w:val="Body Text Indent"/>
    <w:basedOn w:val="a"/>
    <w:link w:val="af5"/>
    <w:pPr>
      <w:ind w:firstLine="851"/>
      <w:jc w:val="both"/>
    </w:pPr>
  </w:style>
  <w:style w:type="character" w:customStyle="1" w:styleId="af5">
    <w:name w:val="Основной текст с отступом Знак"/>
    <w:basedOn w:val="10"/>
    <w:link w:val="af4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7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Строгий1"/>
    <w:link w:val="af6"/>
    <w:rPr>
      <w:b/>
    </w:rPr>
  </w:style>
  <w:style w:type="character" w:styleId="af6">
    <w:name w:val="Strong"/>
    <w:link w:val="18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9">
    <w:name w:val="List"/>
    <w:basedOn w:val="a1"/>
    <w:link w:val="aa"/>
  </w:style>
  <w:style w:type="character" w:customStyle="1" w:styleId="aa">
    <w:name w:val="Список Знак"/>
    <w:basedOn w:val="ae"/>
    <w:link w:val="a9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caption"/>
    <w:basedOn w:val="a"/>
    <w:link w:val="af8"/>
    <w:pPr>
      <w:spacing w:before="120" w:after="120"/>
    </w:pPr>
    <w:rPr>
      <w:i/>
    </w:rPr>
  </w:style>
  <w:style w:type="character" w:customStyle="1" w:styleId="af8">
    <w:name w:val="Название объекта Знак"/>
    <w:basedOn w:val="10"/>
    <w:link w:val="af7"/>
    <w:rPr>
      <w:i/>
      <w:sz w:val="24"/>
    </w:rPr>
  </w:style>
  <w:style w:type="paragraph" w:styleId="af9">
    <w:name w:val="Subtitle"/>
    <w:next w:val="a"/>
    <w:link w:val="afa"/>
    <w:uiPriority w:val="11"/>
    <w:qFormat/>
    <w:rPr>
      <w:rFonts w:ascii="XO Thames" w:hAnsi="XO Thames"/>
      <w:i/>
      <w:color w:val="616161"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43">
    <w:name w:val="List Number 4"/>
    <w:basedOn w:val="a9"/>
    <w:link w:val="44"/>
    <w:pPr>
      <w:ind w:left="1440" w:hanging="360"/>
    </w:pPr>
  </w:style>
  <w:style w:type="character" w:customStyle="1" w:styleId="44">
    <w:name w:val="Нумерованный список 4 Знак"/>
    <w:basedOn w:val="aa"/>
    <w:link w:val="43"/>
    <w:rPr>
      <w:sz w:val="24"/>
    </w:rPr>
  </w:style>
  <w:style w:type="paragraph" w:styleId="afb">
    <w:name w:val="Title"/>
    <w:next w:val="a"/>
    <w:link w:val="afc"/>
    <w:uiPriority w:val="10"/>
    <w:qFormat/>
    <w:rPr>
      <w:rFonts w:ascii="XO Thames" w:hAnsi="XO Thames"/>
      <w:b/>
      <w:sz w:val="52"/>
    </w:rPr>
  </w:style>
  <w:style w:type="character" w:customStyle="1" w:styleId="afc">
    <w:name w:val="Название Знак"/>
    <w:link w:val="afb"/>
    <w:rPr>
      <w:rFonts w:ascii="XO Thames" w:hAnsi="XO Thames"/>
      <w:b/>
      <w:sz w:val="52"/>
    </w:rPr>
  </w:style>
  <w:style w:type="paragraph" w:styleId="afd">
    <w:name w:val="List Number"/>
    <w:basedOn w:val="a9"/>
    <w:link w:val="afe"/>
    <w:pPr>
      <w:ind w:left="360" w:hanging="360"/>
    </w:pPr>
  </w:style>
  <w:style w:type="character" w:customStyle="1" w:styleId="afe">
    <w:name w:val="Нумерованный список Знак"/>
    <w:basedOn w:val="aa"/>
    <w:link w:val="afd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paragraph" w:styleId="aff">
    <w:name w:val="Balloon Text"/>
    <w:basedOn w:val="a"/>
    <w:link w:val="aff0"/>
    <w:uiPriority w:val="99"/>
    <w:semiHidden/>
    <w:unhideWhenUsed/>
    <w:rsid w:val="00745DD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4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3</cp:revision>
  <cp:lastPrinted>2022-10-25T06:34:00Z</cp:lastPrinted>
  <dcterms:created xsi:type="dcterms:W3CDTF">2022-10-25T06:03:00Z</dcterms:created>
  <dcterms:modified xsi:type="dcterms:W3CDTF">2022-10-25T06:35:00Z</dcterms:modified>
</cp:coreProperties>
</file>